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rFonts w:ascii="Verdana" w:cs="Verdana" w:eastAsia="Verdana" w:hAnsi="Verdana"/>
          <w:b w:val="1"/>
        </w:rPr>
      </w:pPr>
      <w:r w:rsidDel="00000000" w:rsidR="00000000" w:rsidRPr="00000000">
        <w:rPr>
          <w:rFonts w:ascii="Verdana" w:cs="Verdana" w:eastAsia="Verdana" w:hAnsi="Verdana"/>
          <w:b w:val="1"/>
          <w:rtl w:val="0"/>
        </w:rPr>
        <w:t xml:space="preserve">SECRETARÍA GENERAL</w:t>
      </w:r>
    </w:p>
    <w:p w:rsidR="00000000" w:rsidDel="00000000" w:rsidP="00000000" w:rsidRDefault="00000000" w:rsidRPr="00000000" w14:paraId="00000002">
      <w:pPr>
        <w:spacing w:line="240" w:lineRule="auto"/>
        <w:jc w:val="center"/>
        <w:rPr>
          <w:rFonts w:ascii="Verdana" w:cs="Verdana" w:eastAsia="Verdana" w:hAnsi="Verdana"/>
          <w:b w:val="1"/>
        </w:rPr>
      </w:pPr>
      <w:r w:rsidDel="00000000" w:rsidR="00000000" w:rsidRPr="00000000">
        <w:rPr>
          <w:rFonts w:ascii="Verdana" w:cs="Verdana" w:eastAsia="Verdana" w:hAnsi="Verdana"/>
          <w:b w:val="1"/>
          <w:rtl w:val="0"/>
        </w:rPr>
        <w:t xml:space="preserve">AUTO MEDIANTE EL CUAL SE DECRETA LA PRESCRIPCIÓN DE LA ACCIÓN DISCIPLINARIA Y SE ORDENA LA TERMINACIÓN Y ARCHIVO DEL EXPEDIENTE DISCIPLINARIO No. 016-2020</w:t>
      </w:r>
    </w:p>
    <w:p w:rsidR="00000000" w:rsidDel="00000000" w:rsidP="00000000" w:rsidRDefault="00000000" w:rsidRPr="00000000" w14:paraId="00000003">
      <w:pPr>
        <w:spacing w:line="240" w:lineRule="auto"/>
        <w:jc w:val="center"/>
        <w:rPr>
          <w:rFonts w:ascii="Verdana" w:cs="Verdana" w:eastAsia="Verdana" w:hAnsi="Verdana"/>
          <w:b w:val="1"/>
        </w:rPr>
      </w:pPr>
      <w:r w:rsidDel="00000000" w:rsidR="00000000" w:rsidRPr="00000000">
        <w:rPr>
          <w:rFonts w:ascii="Verdana" w:cs="Verdana" w:eastAsia="Verdana" w:hAnsi="Verdana"/>
          <w:b w:val="1"/>
          <w:rtl w:val="0"/>
        </w:rPr>
        <w:t xml:space="preserve">GRUPO DE CONTROL INTERNO DISCIPLINARIO</w:t>
      </w:r>
    </w:p>
    <w:p w:rsidR="00000000" w:rsidDel="00000000" w:rsidP="00000000" w:rsidRDefault="00000000" w:rsidRPr="00000000" w14:paraId="00000004">
      <w:pPr>
        <w:spacing w:line="240" w:lineRule="auto"/>
        <w:jc w:val="center"/>
        <w:rPr>
          <w:rFonts w:ascii="Verdana" w:cs="Verdana" w:eastAsia="Verdana" w:hAnsi="Verdana"/>
          <w:b w:val="1"/>
          <w:highlight w:val="yellow"/>
        </w:rPr>
      </w:pPr>
      <w:r w:rsidDel="00000000" w:rsidR="00000000" w:rsidRPr="00000000">
        <w:rPr>
          <w:rFonts w:ascii="Verdana" w:cs="Verdana" w:eastAsia="Verdana" w:hAnsi="Verdana"/>
          <w:b w:val="1"/>
          <w:highlight w:val="yellow"/>
          <w:rtl w:val="0"/>
        </w:rPr>
        <w:t xml:space="preserve">EXPEDIENTE ESIGNA 2099/2024/AUTO</w:t>
      </w:r>
    </w:p>
    <w:p w:rsidR="00000000" w:rsidDel="00000000" w:rsidP="00000000" w:rsidRDefault="00000000" w:rsidRPr="00000000" w14:paraId="00000005">
      <w:pPr>
        <w:spacing w:line="240" w:lineRule="auto"/>
        <w:jc w:val="center"/>
        <w:rPr>
          <w:rFonts w:ascii="Verdana" w:cs="Verdana" w:eastAsia="Verdana" w:hAnsi="Verdana"/>
          <w:b w:val="1"/>
          <w:highlight w:val="yellow"/>
        </w:rPr>
      </w:pPr>
      <w:r w:rsidDel="00000000" w:rsidR="00000000" w:rsidRPr="00000000">
        <w:rPr>
          <w:rtl w:val="0"/>
        </w:rPr>
      </w:r>
    </w:p>
    <w:p w:rsidR="00000000" w:rsidDel="00000000" w:rsidP="00000000" w:rsidRDefault="00000000" w:rsidRPr="00000000" w14:paraId="00000006">
      <w:pPr>
        <w:spacing w:line="240" w:lineRule="auto"/>
        <w:jc w:val="both"/>
        <w:rPr>
          <w:rFonts w:ascii="Verdana" w:cs="Verdana" w:eastAsia="Verdana" w:hAnsi="Verdana"/>
        </w:rPr>
      </w:pPr>
      <w:r w:rsidDel="00000000" w:rsidR="00000000" w:rsidRPr="00000000">
        <w:rPr>
          <w:rtl w:val="0"/>
        </w:rPr>
      </w:r>
    </w:p>
    <w:tbl>
      <w:tblPr>
        <w:tblStyle w:val="Table1"/>
        <w:tblW w:w="8436.0" w:type="dxa"/>
        <w:jc w:val="left"/>
        <w:tblInd w:w="162.0" w:type="dxa"/>
        <w:tblLayout w:type="fixed"/>
        <w:tblLook w:val="0400"/>
      </w:tblPr>
      <w:tblGrid>
        <w:gridCol w:w="2096"/>
        <w:gridCol w:w="6340"/>
        <w:tblGridChange w:id="0">
          <w:tblGrid>
            <w:gridCol w:w="2096"/>
            <w:gridCol w:w="6340"/>
          </w:tblGrid>
        </w:tblGridChange>
      </w:tblGrid>
      <w:tr>
        <w:trPr>
          <w:cantSplit w:val="0"/>
          <w:trHeight w:val="268" w:hRule="atLeast"/>
          <w:tblHeader w:val="0"/>
        </w:trPr>
        <w:tc>
          <w:tcPr>
            <w:vMerge w:val="restart"/>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07">
            <w:pPr>
              <w:spacing w:line="240" w:lineRule="auto"/>
              <w:rPr>
                <w:rFonts w:ascii="Verdana" w:cs="Verdana" w:eastAsia="Verdana" w:hAnsi="Verdana"/>
                <w:b w:val="1"/>
                <w:sz w:val="21"/>
                <w:szCs w:val="21"/>
              </w:rPr>
            </w:pPr>
            <w:r w:rsidDel="00000000" w:rsidR="00000000" w:rsidRPr="00000000">
              <w:rPr>
                <w:rFonts w:ascii="Verdana" w:cs="Verdana" w:eastAsia="Verdana" w:hAnsi="Verdana"/>
                <w:b w:val="1"/>
                <w:sz w:val="21"/>
                <w:szCs w:val="21"/>
                <w:rtl w:val="0"/>
              </w:rPr>
              <w:t xml:space="preserve">RADICACIÓN</w:t>
            </w:r>
          </w:p>
        </w:tc>
        <w:tc>
          <w:tcPr>
            <w:vMerge w:val="restart"/>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08">
            <w:pPr>
              <w:spacing w:line="240" w:lineRule="auto"/>
              <w:jc w:val="both"/>
              <w:rPr>
                <w:rFonts w:ascii="Verdana" w:cs="Verdana" w:eastAsia="Verdana" w:hAnsi="Verdana"/>
                <w:sz w:val="21"/>
                <w:szCs w:val="21"/>
              </w:rPr>
            </w:pPr>
            <w:r w:rsidDel="00000000" w:rsidR="00000000" w:rsidRPr="00000000">
              <w:rPr>
                <w:rFonts w:ascii="Verdana" w:cs="Verdana" w:eastAsia="Verdana" w:hAnsi="Verdana"/>
                <w:sz w:val="21"/>
                <w:szCs w:val="21"/>
                <w:rtl w:val="0"/>
              </w:rPr>
              <w:t xml:space="preserve">No. 016-2020</w:t>
            </w:r>
            <w:r w:rsidDel="00000000" w:rsidR="00000000" w:rsidRPr="00000000">
              <w:rPr>
                <w:rtl w:val="0"/>
              </w:rPr>
            </w:r>
          </w:p>
        </w:tc>
      </w:tr>
      <w:tr>
        <w:trPr>
          <w:cantSplit w:val="0"/>
          <w:trHeight w:val="308" w:hRule="atLeast"/>
          <w:tblHeader w:val="0"/>
        </w:trPr>
        <w:tc>
          <w:tcPr>
            <w:vMerge w:val="continue"/>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09">
            <w:pPr>
              <w:widowControl w:val="0"/>
              <w:rPr>
                <w:rFonts w:ascii="Verdana" w:cs="Verdana" w:eastAsia="Verdana" w:hAnsi="Verdana"/>
                <w:b w:val="1"/>
                <w:sz w:val="21"/>
                <w:szCs w:val="21"/>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0A">
            <w:pPr>
              <w:widowControl w:val="0"/>
              <w:rPr>
                <w:rFonts w:ascii="Verdana" w:cs="Verdana" w:eastAsia="Verdana" w:hAnsi="Verdana"/>
                <w:b w:val="1"/>
                <w:sz w:val="21"/>
                <w:szCs w:val="21"/>
              </w:rPr>
            </w:pPr>
            <w:r w:rsidDel="00000000" w:rsidR="00000000" w:rsidRPr="00000000">
              <w:rPr>
                <w:rtl w:val="0"/>
              </w:rPr>
            </w:r>
          </w:p>
        </w:tc>
      </w:tr>
      <w:tr>
        <w:trPr>
          <w:cantSplit w:val="0"/>
          <w:trHeight w:val="268" w:hRule="atLeast"/>
          <w:tblHeader w:val="0"/>
        </w:trPr>
        <w:tc>
          <w:tcPr>
            <w:tcBorders>
              <w:top w:color="000000" w:space="0" w:sz="0" w:val="nil"/>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0B">
            <w:pPr>
              <w:spacing w:line="240" w:lineRule="auto"/>
              <w:rPr>
                <w:rFonts w:ascii="Verdana" w:cs="Verdana" w:eastAsia="Verdana" w:hAnsi="Verdana"/>
                <w:b w:val="1"/>
                <w:sz w:val="21"/>
                <w:szCs w:val="21"/>
              </w:rPr>
            </w:pPr>
            <w:r w:rsidDel="00000000" w:rsidR="00000000" w:rsidRPr="00000000">
              <w:rPr>
                <w:rFonts w:ascii="Verdana" w:cs="Verdana" w:eastAsia="Verdana" w:hAnsi="Verdana"/>
                <w:b w:val="1"/>
                <w:sz w:val="21"/>
                <w:szCs w:val="21"/>
                <w:rtl w:val="0"/>
              </w:rPr>
              <w:t xml:space="preserve">HECHOS</w:t>
            </w:r>
          </w:p>
        </w:tc>
        <w:tc>
          <w:tcPr>
            <w:tcBorders>
              <w:top w:color="000000" w:space="0" w:sz="0" w:val="nil"/>
              <w:left w:color="000000" w:space="0" w:sz="8" w:val="single"/>
              <w:bottom w:color="000000" w:space="0" w:sz="8" w:val="single"/>
              <w:right w:color="000000" w:space="0" w:sz="8" w:val="single"/>
            </w:tcBorders>
            <w:tcMar>
              <w:top w:w="0.0" w:type="dxa"/>
              <w:left w:w="70.0" w:type="dxa"/>
              <w:bottom w:w="0.0" w:type="dxa"/>
              <w:right w:w="70.0" w:type="dxa"/>
            </w:tcMar>
          </w:tcPr>
          <w:p w:rsidR="00000000" w:rsidDel="00000000" w:rsidP="00000000" w:rsidRDefault="00000000" w:rsidRPr="00000000" w14:paraId="0000000C">
            <w:pPr>
              <w:spacing w:line="240" w:lineRule="auto"/>
              <w:jc w:val="both"/>
              <w:rPr>
                <w:rFonts w:ascii="Verdana" w:cs="Verdana" w:eastAsia="Verdana" w:hAnsi="Verdana"/>
                <w:sz w:val="21"/>
                <w:szCs w:val="21"/>
              </w:rPr>
            </w:pPr>
            <w:r w:rsidDel="00000000" w:rsidR="00000000" w:rsidRPr="00000000">
              <w:rPr>
                <w:rFonts w:ascii="Verdana" w:cs="Verdana" w:eastAsia="Verdana" w:hAnsi="Verdana"/>
                <w:sz w:val="21"/>
                <w:szCs w:val="21"/>
                <w:rtl w:val="0"/>
              </w:rPr>
              <w:t xml:space="preserve">Ocurrencia de presuntas irregularidades administrativas con connotaciones disciplinarias, cometidas por funcionarios de la Superintendencia de Vigilancia y Seguridad Privada, al omitir dar respuesta de fondo al requerimiento con Radicado No. 20190122012 del veinte (20) de mayo de dos mil diecinueve (2019) presentado por la entidad denominada GESTIÓN DE SEGURIDAD ELECTRÓNICA S.A - GSE S.A.</w:t>
            </w:r>
          </w:p>
        </w:tc>
      </w:tr>
      <w:tr>
        <w:trPr>
          <w:cantSplit w:val="0"/>
          <w:trHeight w:val="268" w:hRule="atLeast"/>
          <w:tblHeader w:val="0"/>
        </w:trPr>
        <w:tc>
          <w:tcPr>
            <w:tcBorders>
              <w:top w:color="000000" w:space="0" w:sz="0" w:val="nil"/>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0D">
            <w:pPr>
              <w:spacing w:line="240" w:lineRule="auto"/>
              <w:rPr>
                <w:rFonts w:ascii="Verdana" w:cs="Verdana" w:eastAsia="Verdana" w:hAnsi="Verdana"/>
                <w:b w:val="1"/>
                <w:sz w:val="21"/>
                <w:szCs w:val="21"/>
              </w:rPr>
            </w:pPr>
            <w:r w:rsidDel="00000000" w:rsidR="00000000" w:rsidRPr="00000000">
              <w:rPr>
                <w:rFonts w:ascii="Verdana" w:cs="Verdana" w:eastAsia="Verdana" w:hAnsi="Verdana"/>
                <w:b w:val="1"/>
                <w:sz w:val="21"/>
                <w:szCs w:val="21"/>
                <w:rtl w:val="0"/>
              </w:rPr>
              <w:t xml:space="preserve">FECHA DE LOS HECHOS</w:t>
            </w:r>
          </w:p>
        </w:tc>
        <w:tc>
          <w:tcPr>
            <w:tcBorders>
              <w:top w:color="000000" w:space="0" w:sz="0" w:val="nil"/>
              <w:left w:color="000000" w:space="0" w:sz="8" w:val="single"/>
              <w:bottom w:color="000000" w:space="0" w:sz="8" w:val="single"/>
              <w:right w:color="000000" w:space="0" w:sz="8" w:val="single"/>
            </w:tcBorders>
            <w:tcMar>
              <w:top w:w="0.0" w:type="dxa"/>
              <w:left w:w="70.0" w:type="dxa"/>
              <w:bottom w:w="0.0" w:type="dxa"/>
              <w:right w:w="70.0" w:type="dxa"/>
            </w:tcMar>
          </w:tcPr>
          <w:p w:rsidR="00000000" w:rsidDel="00000000" w:rsidP="00000000" w:rsidRDefault="00000000" w:rsidRPr="00000000" w14:paraId="0000000E">
            <w:pPr>
              <w:spacing w:line="240" w:lineRule="auto"/>
              <w:jc w:val="both"/>
              <w:rPr>
                <w:rFonts w:ascii="Verdana" w:cs="Verdana" w:eastAsia="Verdana" w:hAnsi="Verdana"/>
                <w:sz w:val="21"/>
                <w:szCs w:val="21"/>
              </w:rPr>
            </w:pPr>
            <w:r w:rsidDel="00000000" w:rsidR="00000000" w:rsidRPr="00000000">
              <w:rPr>
                <w:rFonts w:ascii="Verdana" w:cs="Verdana" w:eastAsia="Verdana" w:hAnsi="Verdana"/>
                <w:sz w:val="21"/>
                <w:szCs w:val="21"/>
                <w:rtl w:val="0"/>
              </w:rPr>
              <w:t xml:space="preserve">20 de mayo de 2019</w:t>
            </w:r>
            <w:r w:rsidDel="00000000" w:rsidR="00000000" w:rsidRPr="00000000">
              <w:rPr>
                <w:rtl w:val="0"/>
              </w:rPr>
            </w:r>
          </w:p>
        </w:tc>
      </w:tr>
      <w:tr>
        <w:trPr>
          <w:cantSplit w:val="0"/>
          <w:trHeight w:val="268" w:hRule="atLeast"/>
          <w:tblHeader w:val="0"/>
        </w:trPr>
        <w:tc>
          <w:tcPr>
            <w:vMerge w:val="restart"/>
            <w:tcBorders>
              <w:top w:color="000000" w:space="0" w:sz="0" w:val="nil"/>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0F">
            <w:pPr>
              <w:spacing w:line="240" w:lineRule="auto"/>
              <w:rPr>
                <w:rFonts w:ascii="Verdana" w:cs="Verdana" w:eastAsia="Verdana" w:hAnsi="Verdana"/>
                <w:b w:val="1"/>
                <w:sz w:val="21"/>
                <w:szCs w:val="21"/>
              </w:rPr>
            </w:pPr>
            <w:r w:rsidDel="00000000" w:rsidR="00000000" w:rsidRPr="00000000">
              <w:rPr>
                <w:rFonts w:ascii="Verdana" w:cs="Verdana" w:eastAsia="Verdana" w:hAnsi="Verdana"/>
                <w:b w:val="1"/>
                <w:sz w:val="21"/>
                <w:szCs w:val="21"/>
                <w:rtl w:val="0"/>
              </w:rPr>
              <w:t xml:space="preserve">INDAGADOS</w:t>
            </w:r>
          </w:p>
        </w:tc>
        <w:tc>
          <w:tcPr>
            <w:vMerge w:val="restart"/>
            <w:tcBorders>
              <w:top w:color="000000" w:space="0" w:sz="0" w:val="nil"/>
              <w:left w:color="000000" w:space="0" w:sz="8" w:val="single"/>
              <w:bottom w:color="000000" w:space="0" w:sz="8" w:val="single"/>
              <w:right w:color="000000" w:space="0" w:sz="8" w:val="single"/>
            </w:tcBorders>
            <w:tcMar>
              <w:top w:w="0.0" w:type="dxa"/>
              <w:left w:w="70.0" w:type="dxa"/>
              <w:bottom w:w="0.0" w:type="dxa"/>
              <w:right w:w="70.0" w:type="dxa"/>
            </w:tcMar>
          </w:tcPr>
          <w:p w:rsidR="00000000" w:rsidDel="00000000" w:rsidP="00000000" w:rsidRDefault="00000000" w:rsidRPr="00000000" w14:paraId="00000010">
            <w:pPr>
              <w:spacing w:line="240" w:lineRule="auto"/>
              <w:jc w:val="both"/>
              <w:rPr>
                <w:rFonts w:ascii="Verdana" w:cs="Verdana" w:eastAsia="Verdana" w:hAnsi="Verdana"/>
                <w:sz w:val="21"/>
                <w:szCs w:val="21"/>
              </w:rPr>
            </w:pPr>
            <w:r w:rsidDel="00000000" w:rsidR="00000000" w:rsidRPr="00000000">
              <w:rPr>
                <w:rFonts w:ascii="Verdana" w:cs="Verdana" w:eastAsia="Verdana" w:hAnsi="Verdana"/>
                <w:sz w:val="21"/>
                <w:szCs w:val="21"/>
                <w:rtl w:val="0"/>
              </w:rPr>
              <w:t xml:space="preserve">En averiguación de responsables.</w:t>
            </w:r>
            <w:r w:rsidDel="00000000" w:rsidR="00000000" w:rsidRPr="00000000">
              <w:rPr>
                <w:rtl w:val="0"/>
              </w:rPr>
            </w:r>
          </w:p>
        </w:tc>
      </w:tr>
      <w:tr>
        <w:trPr>
          <w:cantSplit w:val="0"/>
          <w:trHeight w:val="396" w:hRule="atLeast"/>
          <w:tblHeader w:val="0"/>
        </w:trPr>
        <w:tc>
          <w:tcPr>
            <w:vMerge w:val="continue"/>
            <w:tcBorders>
              <w:top w:color="000000" w:space="0" w:sz="0" w:val="nil"/>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11">
            <w:pPr>
              <w:widowControl w:val="0"/>
              <w:rPr>
                <w:rFonts w:ascii="Verdana" w:cs="Verdana" w:eastAsia="Verdana" w:hAnsi="Verdana"/>
                <w:sz w:val="21"/>
                <w:szCs w:val="21"/>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tcMar>
              <w:top w:w="0.0" w:type="dxa"/>
              <w:left w:w="70.0" w:type="dxa"/>
              <w:bottom w:w="0.0" w:type="dxa"/>
              <w:right w:w="70.0" w:type="dxa"/>
            </w:tcMar>
          </w:tcPr>
          <w:p w:rsidR="00000000" w:rsidDel="00000000" w:rsidP="00000000" w:rsidRDefault="00000000" w:rsidRPr="00000000" w14:paraId="00000012">
            <w:pPr>
              <w:widowControl w:val="0"/>
              <w:rPr>
                <w:rFonts w:ascii="Verdana" w:cs="Verdana" w:eastAsia="Verdana" w:hAnsi="Verdana"/>
                <w:sz w:val="21"/>
                <w:szCs w:val="21"/>
              </w:rPr>
            </w:pPr>
            <w:r w:rsidDel="00000000" w:rsidR="00000000" w:rsidRPr="00000000">
              <w:rPr>
                <w:rtl w:val="0"/>
              </w:rPr>
            </w:r>
          </w:p>
        </w:tc>
      </w:tr>
      <w:tr>
        <w:trPr>
          <w:cantSplit w:val="0"/>
          <w:trHeight w:val="268" w:hRule="atLeast"/>
          <w:tblHeader w:val="0"/>
        </w:trPr>
        <w:tc>
          <w:tcPr>
            <w:vMerge w:val="restart"/>
            <w:tcBorders>
              <w:top w:color="000000" w:space="0" w:sz="0" w:val="nil"/>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13">
            <w:pPr>
              <w:spacing w:line="240" w:lineRule="auto"/>
              <w:rPr>
                <w:rFonts w:ascii="Verdana" w:cs="Verdana" w:eastAsia="Verdana" w:hAnsi="Verdana"/>
                <w:b w:val="1"/>
                <w:sz w:val="21"/>
                <w:szCs w:val="21"/>
              </w:rPr>
            </w:pPr>
            <w:r w:rsidDel="00000000" w:rsidR="00000000" w:rsidRPr="00000000">
              <w:rPr>
                <w:rFonts w:ascii="Verdana" w:cs="Verdana" w:eastAsia="Verdana" w:hAnsi="Verdana"/>
                <w:b w:val="1"/>
                <w:sz w:val="21"/>
                <w:szCs w:val="21"/>
                <w:rtl w:val="0"/>
              </w:rPr>
              <w:t xml:space="preserve">QUEJOSO</w:t>
            </w:r>
          </w:p>
          <w:p w:rsidR="00000000" w:rsidDel="00000000" w:rsidP="00000000" w:rsidRDefault="00000000" w:rsidRPr="00000000" w14:paraId="00000014">
            <w:pPr>
              <w:spacing w:line="240" w:lineRule="auto"/>
              <w:rPr>
                <w:rFonts w:ascii="Verdana" w:cs="Verdana" w:eastAsia="Verdana" w:hAnsi="Verdana"/>
                <w:b w:val="1"/>
                <w:sz w:val="21"/>
                <w:szCs w:val="21"/>
              </w:rPr>
            </w:pPr>
            <w:r w:rsidDel="00000000" w:rsidR="00000000" w:rsidRPr="00000000">
              <w:rPr>
                <w:rtl w:val="0"/>
              </w:rPr>
            </w:r>
          </w:p>
        </w:tc>
        <w:tc>
          <w:tcPr>
            <w:vMerge w:val="restart"/>
            <w:tcBorders>
              <w:top w:color="000000" w:space="0" w:sz="0" w:val="nil"/>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15">
            <w:pPr>
              <w:spacing w:line="240" w:lineRule="auto"/>
              <w:jc w:val="both"/>
              <w:rPr>
                <w:rFonts w:ascii="Verdana" w:cs="Verdana" w:eastAsia="Verdana" w:hAnsi="Verdana"/>
                <w:sz w:val="21"/>
                <w:szCs w:val="21"/>
              </w:rPr>
            </w:pPr>
            <w:r w:rsidDel="00000000" w:rsidR="00000000" w:rsidRPr="00000000">
              <w:rPr>
                <w:rFonts w:ascii="Verdana" w:cs="Verdana" w:eastAsia="Verdana" w:hAnsi="Verdana"/>
                <w:sz w:val="21"/>
                <w:szCs w:val="21"/>
                <w:rtl w:val="0"/>
              </w:rPr>
              <w:t xml:space="preserve">La oficina Asesora Jurídica mediante correo electrónico del 19 de junio de 2020 remitió al Grupo de Control Interno Disciplinario la información pertinente. </w:t>
            </w:r>
            <w:r w:rsidDel="00000000" w:rsidR="00000000" w:rsidRPr="00000000">
              <w:rPr>
                <w:rtl w:val="0"/>
              </w:rPr>
            </w:r>
          </w:p>
        </w:tc>
      </w:tr>
      <w:tr>
        <w:trPr>
          <w:cantSplit w:val="0"/>
          <w:trHeight w:val="397" w:hRule="atLeast"/>
          <w:tblHeader w:val="0"/>
        </w:trPr>
        <w:tc>
          <w:tcPr>
            <w:vMerge w:val="continue"/>
            <w:tcBorders>
              <w:top w:color="000000" w:space="0" w:sz="0" w:val="nil"/>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16">
            <w:pPr>
              <w:widowControl w:val="0"/>
              <w:rPr>
                <w:rFonts w:ascii="Verdana" w:cs="Verdana" w:eastAsia="Verdana" w:hAnsi="Verdana"/>
                <w:sz w:val="21"/>
                <w:szCs w:val="21"/>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17">
            <w:pPr>
              <w:widowControl w:val="0"/>
              <w:rPr>
                <w:rFonts w:ascii="Verdana" w:cs="Verdana" w:eastAsia="Verdana" w:hAnsi="Verdana"/>
                <w:sz w:val="21"/>
                <w:szCs w:val="21"/>
              </w:rPr>
            </w:pPr>
            <w:r w:rsidDel="00000000" w:rsidR="00000000" w:rsidRPr="00000000">
              <w:rPr>
                <w:rtl w:val="0"/>
              </w:rPr>
            </w:r>
          </w:p>
        </w:tc>
      </w:tr>
    </w:tbl>
    <w:p w:rsidR="00000000" w:rsidDel="00000000" w:rsidP="00000000" w:rsidRDefault="00000000" w:rsidRPr="00000000" w14:paraId="00000018">
      <w:pPr>
        <w:spacing w:line="240" w:lineRule="auto"/>
        <w:jc w:val="both"/>
        <w:rPr>
          <w:rFonts w:ascii="Verdana" w:cs="Verdana" w:eastAsia="Verdana" w:hAnsi="Verdana"/>
          <w:b w:val="1"/>
        </w:rPr>
      </w:pPr>
      <w:r w:rsidDel="00000000" w:rsidR="00000000" w:rsidRPr="00000000">
        <w:rPr>
          <w:rtl w:val="0"/>
        </w:rPr>
      </w:r>
    </w:p>
    <w:p w:rsidR="00000000" w:rsidDel="00000000" w:rsidP="00000000" w:rsidRDefault="00000000" w:rsidRPr="00000000" w14:paraId="00000019">
      <w:pPr>
        <w:spacing w:line="240" w:lineRule="auto"/>
        <w:jc w:val="both"/>
        <w:rPr>
          <w:rFonts w:ascii="Verdana" w:cs="Verdana" w:eastAsia="Verdana" w:hAnsi="Verdana"/>
          <w:b w:val="1"/>
        </w:rPr>
      </w:pPr>
      <w:r w:rsidDel="00000000" w:rsidR="00000000" w:rsidRPr="00000000">
        <w:rPr>
          <w:rtl w:val="0"/>
        </w:rPr>
      </w:r>
    </w:p>
    <w:p w:rsidR="00000000" w:rsidDel="00000000" w:rsidP="00000000" w:rsidRDefault="00000000" w:rsidRPr="00000000" w14:paraId="0000001A">
      <w:pPr>
        <w:spacing w:line="240" w:lineRule="auto"/>
        <w:jc w:val="both"/>
        <w:rPr>
          <w:rFonts w:ascii="Verdana" w:cs="Verdana" w:eastAsia="Verdana" w:hAnsi="Verdana"/>
          <w:b w:val="1"/>
        </w:rPr>
      </w:pPr>
      <w:r w:rsidDel="00000000" w:rsidR="00000000" w:rsidRPr="00000000">
        <w:rPr>
          <w:rtl w:val="0"/>
        </w:rPr>
      </w:r>
    </w:p>
    <w:p w:rsidR="00000000" w:rsidDel="00000000" w:rsidP="00000000" w:rsidRDefault="00000000" w:rsidRPr="00000000" w14:paraId="0000001B">
      <w:pPr>
        <w:numPr>
          <w:ilvl w:val="0"/>
          <w:numId w:val="4"/>
        </w:numPr>
        <w:spacing w:line="240" w:lineRule="auto"/>
        <w:ind w:left="720" w:hanging="360"/>
        <w:jc w:val="center"/>
        <w:rPr>
          <w:rFonts w:ascii="Verdana" w:cs="Verdana" w:eastAsia="Verdana" w:hAnsi="Verdana"/>
          <w:b w:val="1"/>
        </w:rPr>
      </w:pPr>
      <w:r w:rsidDel="00000000" w:rsidR="00000000" w:rsidRPr="00000000">
        <w:rPr>
          <w:rFonts w:ascii="Verdana" w:cs="Verdana" w:eastAsia="Verdana" w:hAnsi="Verdana"/>
          <w:b w:val="1"/>
          <w:rtl w:val="0"/>
        </w:rPr>
        <w:t xml:space="preserve">ASUNTO</w:t>
      </w:r>
    </w:p>
    <w:p w:rsidR="00000000" w:rsidDel="00000000" w:rsidP="00000000" w:rsidRDefault="00000000" w:rsidRPr="00000000" w14:paraId="0000001C">
      <w:pPr>
        <w:spacing w:line="240" w:lineRule="auto"/>
        <w:ind w:left="720" w:firstLine="0"/>
        <w:jc w:val="center"/>
        <w:rPr>
          <w:rFonts w:ascii="Verdana" w:cs="Verdana" w:eastAsia="Verdana" w:hAnsi="Verdana"/>
          <w:b w:val="1"/>
        </w:rPr>
      </w:pPr>
      <w:r w:rsidDel="00000000" w:rsidR="00000000" w:rsidRPr="00000000">
        <w:rPr>
          <w:rtl w:val="0"/>
        </w:rPr>
      </w:r>
    </w:p>
    <w:p w:rsidR="00000000" w:rsidDel="00000000" w:rsidP="00000000" w:rsidRDefault="00000000" w:rsidRPr="00000000" w14:paraId="0000001D">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El  Secretario General (E) de la Superintendencia de Vigilancia y Seguridad Privada, actuando de acuerdo con lo señalado en el numeral 15 del artículo 13 del Decreto 2355 de 2006 y demás disposiciones legales; de conformidad con lo previsto en el artículo 33 de la Ley 1952 de 2019 [modificado por el artículo 7 de la Ley 2094 del 2021] procede a decretar la prescripción de la acción disciplinaria dentro del expediente No. 016-2020.</w:t>
      </w:r>
    </w:p>
    <w:p w:rsidR="00000000" w:rsidDel="00000000" w:rsidP="00000000" w:rsidRDefault="00000000" w:rsidRPr="00000000" w14:paraId="0000001E">
      <w:pPr>
        <w:spacing w:line="240" w:lineRule="auto"/>
        <w:rPr>
          <w:rFonts w:ascii="Verdana" w:cs="Verdana" w:eastAsia="Verdana" w:hAnsi="Verdana"/>
          <w:b w:val="1"/>
        </w:rPr>
      </w:pPr>
      <w:r w:rsidDel="00000000" w:rsidR="00000000" w:rsidRPr="00000000">
        <w:rPr>
          <w:rtl w:val="0"/>
        </w:rPr>
      </w:r>
    </w:p>
    <w:p w:rsidR="00000000" w:rsidDel="00000000" w:rsidP="00000000" w:rsidRDefault="00000000" w:rsidRPr="00000000" w14:paraId="0000001F">
      <w:pPr>
        <w:spacing w:line="240" w:lineRule="auto"/>
        <w:rPr>
          <w:rFonts w:ascii="Verdana" w:cs="Verdana" w:eastAsia="Verdana" w:hAnsi="Verdana"/>
          <w:b w:val="1"/>
        </w:rPr>
      </w:pPr>
      <w:r w:rsidDel="00000000" w:rsidR="00000000" w:rsidRPr="00000000">
        <w:rPr>
          <w:rtl w:val="0"/>
        </w:rPr>
      </w:r>
    </w:p>
    <w:p w:rsidR="00000000" w:rsidDel="00000000" w:rsidP="00000000" w:rsidRDefault="00000000" w:rsidRPr="00000000" w14:paraId="00000020">
      <w:pPr>
        <w:numPr>
          <w:ilvl w:val="0"/>
          <w:numId w:val="4"/>
        </w:numPr>
        <w:spacing w:line="240" w:lineRule="auto"/>
        <w:ind w:left="720" w:hanging="360"/>
        <w:jc w:val="center"/>
        <w:rPr>
          <w:rFonts w:ascii="Verdana" w:cs="Verdana" w:eastAsia="Verdana" w:hAnsi="Verdana"/>
          <w:b w:val="1"/>
        </w:rPr>
      </w:pPr>
      <w:r w:rsidDel="00000000" w:rsidR="00000000" w:rsidRPr="00000000">
        <w:rPr>
          <w:rFonts w:ascii="Verdana" w:cs="Verdana" w:eastAsia="Verdana" w:hAnsi="Verdana"/>
          <w:b w:val="1"/>
          <w:rtl w:val="0"/>
        </w:rPr>
        <w:t xml:space="preserve">COMPETENCIA</w:t>
      </w:r>
    </w:p>
    <w:p w:rsidR="00000000" w:rsidDel="00000000" w:rsidP="00000000" w:rsidRDefault="00000000" w:rsidRPr="00000000" w14:paraId="00000021">
      <w:pPr>
        <w:spacing w:line="240" w:lineRule="auto"/>
        <w:rPr>
          <w:rFonts w:ascii="Verdana" w:cs="Verdana" w:eastAsia="Verdana" w:hAnsi="Verdana"/>
        </w:rPr>
      </w:pPr>
      <w:r w:rsidDel="00000000" w:rsidR="00000000" w:rsidRPr="00000000">
        <w:rPr>
          <w:rtl w:val="0"/>
        </w:rPr>
      </w:r>
    </w:p>
    <w:p w:rsidR="00000000" w:rsidDel="00000000" w:rsidP="00000000" w:rsidRDefault="00000000" w:rsidRPr="00000000" w14:paraId="00000022">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Al tenor de lo establecido en la ley 1952 del 28 de enero de 2019, modificado por el artículo 14 de la ley 2049 del 29 de junio de 2021, se estableció que </w:t>
      </w:r>
      <w:r w:rsidDel="00000000" w:rsidR="00000000" w:rsidRPr="00000000">
        <w:rPr>
          <w:rFonts w:ascii="Verdana" w:cs="Verdana" w:eastAsia="Verdana" w:hAnsi="Verdana"/>
          <w:i w:val="1"/>
          <w:rtl w:val="0"/>
        </w:rPr>
        <w:t xml:space="preserve">"Toda entidad u organismo del Estado, con excepción de las competencias de la Comisión Nacional de Disciplina Judicial y las Comisiones Seccionales de Disciplina Judicial, debe organizar una unidad u oficina del más alto nivel encargada de conocer los procesos disciplinarios que se adelanten contra sus servidores”</w:t>
      </w:r>
      <w:r w:rsidDel="00000000" w:rsidR="00000000" w:rsidRPr="00000000">
        <w:rPr>
          <w:rtl w:val="0"/>
        </w:rPr>
      </w:r>
    </w:p>
    <w:p w:rsidR="00000000" w:rsidDel="00000000" w:rsidP="00000000" w:rsidRDefault="00000000" w:rsidRPr="00000000" w14:paraId="00000023">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24">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Con base en la anterior normatividad entonces, este Despacho, es competente para conocer de los anteriores hechos de acuerdo con lo establecido en el Decreto No. 2355 de 2006 " ...Por el cual se modifica la estructura de la Superintendencia de Vigilancia y Seguridad Privada y se dictan otras disposiciones", el cual consagró en su artículo 13, numeral 15, como función de la Secretaría General la de coordinar las investigaciones de carácter disciplinario que se adelanten contra los funcionarios de la Superintendencia y resolverlas en primera instancia.  </w:t>
      </w:r>
    </w:p>
    <w:p w:rsidR="00000000" w:rsidDel="00000000" w:rsidP="00000000" w:rsidRDefault="00000000" w:rsidRPr="00000000" w14:paraId="00000025">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26">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Por su parte, la Resolución No. 20233400003467 del 02 de febrero de 2023, por medio de la cual se deroga la Resolución No. 20221300053467 del 22 de agosto de 2022, se modifica el numeral 1.5.7 del artículo 3 de la resolución No. 20193100061997 del 27 de junio de 2019 y se asignan en la Superintendencia de Vigilancia y Seguridad Privada las funciones de instrucción a la Secretaría General apoyado por el Grupo de Trabajo de Control Interno Disciplinario y las de juzgamiento a la Oficina Asesora Jurídica, de conformidad con lo contemplado en la Ley 1952 de 2019 Código General Disciplinario, modificado por la Ley 2094 de 2021.</w:t>
      </w:r>
    </w:p>
    <w:p w:rsidR="00000000" w:rsidDel="00000000" w:rsidP="00000000" w:rsidRDefault="00000000" w:rsidRPr="00000000" w14:paraId="00000027">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28">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Que, en este mismo sentido, el artículo segundo de la resolución antes citada, determinó que el Grupo de Control Interno Disciplinario tendrá entre otras funciones, la de conocer, instruir y sustanciar en etapa de instrucción los procesos disciplinario que se promuevan en contra de servidores y ex servidores de la Superintendencia de Vigilancia y Seguridad Privada que sean de su competencia, de conformidad con las normas que rigen la materia.   </w:t>
      </w:r>
    </w:p>
    <w:p w:rsidR="00000000" w:rsidDel="00000000" w:rsidP="00000000" w:rsidRDefault="00000000" w:rsidRPr="00000000" w14:paraId="00000029">
      <w:pPr>
        <w:spacing w:line="240" w:lineRule="auto"/>
        <w:rPr>
          <w:rFonts w:ascii="Verdana" w:cs="Verdana" w:eastAsia="Verdana" w:hAnsi="Verdana"/>
        </w:rPr>
      </w:pPr>
      <w:r w:rsidDel="00000000" w:rsidR="00000000" w:rsidRPr="00000000">
        <w:rPr>
          <w:rtl w:val="0"/>
        </w:rPr>
      </w:r>
    </w:p>
    <w:p w:rsidR="00000000" w:rsidDel="00000000" w:rsidP="00000000" w:rsidRDefault="00000000" w:rsidRPr="00000000" w14:paraId="0000002A">
      <w:pPr>
        <w:spacing w:line="240" w:lineRule="auto"/>
        <w:rPr>
          <w:rFonts w:ascii="Verdana" w:cs="Verdana" w:eastAsia="Verdana" w:hAnsi="Verdana"/>
          <w:b w:val="1"/>
        </w:rPr>
      </w:pPr>
      <w:r w:rsidDel="00000000" w:rsidR="00000000" w:rsidRPr="00000000">
        <w:rPr>
          <w:rtl w:val="0"/>
        </w:rPr>
      </w:r>
    </w:p>
    <w:p w:rsidR="00000000" w:rsidDel="00000000" w:rsidP="00000000" w:rsidRDefault="00000000" w:rsidRPr="00000000" w14:paraId="0000002B">
      <w:pPr>
        <w:numPr>
          <w:ilvl w:val="0"/>
          <w:numId w:val="4"/>
        </w:numPr>
        <w:spacing w:line="240" w:lineRule="auto"/>
        <w:ind w:left="720" w:hanging="360"/>
        <w:jc w:val="center"/>
        <w:rPr>
          <w:rFonts w:ascii="Verdana" w:cs="Verdana" w:eastAsia="Verdana" w:hAnsi="Verdana"/>
          <w:b w:val="1"/>
        </w:rPr>
      </w:pPr>
      <w:r w:rsidDel="00000000" w:rsidR="00000000" w:rsidRPr="00000000">
        <w:rPr>
          <w:rFonts w:ascii="Verdana" w:cs="Verdana" w:eastAsia="Verdana" w:hAnsi="Verdana"/>
          <w:b w:val="1"/>
          <w:rtl w:val="0"/>
        </w:rPr>
        <w:t xml:space="preserve">HECHOS Y ANTECEDENTES PROCESALES</w:t>
      </w:r>
    </w:p>
    <w:p w:rsidR="00000000" w:rsidDel="00000000" w:rsidP="00000000" w:rsidRDefault="00000000" w:rsidRPr="00000000" w14:paraId="0000002C">
      <w:pPr>
        <w:spacing w:line="240" w:lineRule="auto"/>
        <w:jc w:val="center"/>
        <w:rPr>
          <w:rFonts w:ascii="Verdana" w:cs="Verdana" w:eastAsia="Verdana" w:hAnsi="Verdana"/>
          <w:b w:val="1"/>
        </w:rPr>
      </w:pPr>
      <w:r w:rsidDel="00000000" w:rsidR="00000000" w:rsidRPr="00000000">
        <w:rPr>
          <w:rtl w:val="0"/>
        </w:rPr>
      </w:r>
    </w:p>
    <w:p w:rsidR="00000000" w:rsidDel="00000000" w:rsidP="00000000" w:rsidRDefault="00000000" w:rsidRPr="00000000" w14:paraId="0000002D">
      <w:pPr>
        <w:spacing w:line="240" w:lineRule="auto"/>
        <w:jc w:val="center"/>
        <w:rPr>
          <w:rFonts w:ascii="Verdana" w:cs="Verdana" w:eastAsia="Verdana" w:hAnsi="Verdana"/>
          <w:b w:val="1"/>
        </w:rPr>
      </w:pPr>
      <w:r w:rsidDel="00000000" w:rsidR="00000000" w:rsidRPr="00000000">
        <w:rPr>
          <w:rtl w:val="0"/>
        </w:rPr>
      </w:r>
    </w:p>
    <w:p w:rsidR="00000000" w:rsidDel="00000000" w:rsidP="00000000" w:rsidRDefault="00000000" w:rsidRPr="00000000" w14:paraId="0000002E">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Mediante correo electrónico con fecha diecinueve (19) de junio dedos mil veinte (2020),la oficina Asesora Jurídica puso en conocimiento del Grupo de Control Interno Disciplinario la presunta ocurrencia de irregularidades administrativas con connotación disciplinaria, cometidas por funcionarios de la Superintendencia de Vigilancia y Seguridad Privada, al omitir dar respuesta de fondo al requerimiento con Radicado No. </w:t>
      </w:r>
      <w:r w:rsidDel="00000000" w:rsidR="00000000" w:rsidRPr="00000000">
        <w:rPr>
          <w:rFonts w:ascii="Verdana" w:cs="Verdana" w:eastAsia="Verdana" w:hAnsi="Verdana"/>
          <w:sz w:val="21"/>
          <w:szCs w:val="21"/>
          <w:rtl w:val="0"/>
        </w:rPr>
        <w:t xml:space="preserve">20190122012 del veinte (20) de mayo de dos mil diecinueve (2019) presentado por la entidad denominada GESTIÓN DE SEGURIDAD ELECTRÓNICA S.A - GSE S.A.</w:t>
      </w:r>
      <w:r w:rsidDel="00000000" w:rsidR="00000000" w:rsidRPr="00000000">
        <w:rPr>
          <w:rtl w:val="0"/>
        </w:rPr>
      </w:r>
    </w:p>
    <w:p w:rsidR="00000000" w:rsidDel="00000000" w:rsidP="00000000" w:rsidRDefault="00000000" w:rsidRPr="00000000" w14:paraId="0000002F">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30">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En ese sentido, le correspondía  a esta Secretaría General - Grupo de Control Interno disciplinario, previa la respectiva investigación disciplinaria que se adelantara, puntualizar si le asiste o no responsabilidad disciplinaria por acción u omisión a los sujetos procesales. Así mismo, previa verificación a fondo de la ocurrencia de los hechos, le correspondía comprobar si los mismos son constitutivos de falta disciplinaria, así como esclarecer los motivos determinantes, las circunstancias de tiempo, modo y lugar en que se cometieron, el perjuicio causado a la administración y la responsabilidad disciplinaria de los investigados (artículo 153 de la Ley No. 734 de 2002).</w:t>
      </w:r>
    </w:p>
    <w:p w:rsidR="00000000" w:rsidDel="00000000" w:rsidP="00000000" w:rsidRDefault="00000000" w:rsidRPr="00000000" w14:paraId="00000031">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32">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En ese orden y en cumplimiento de la orden impartida por la Superintendencia Delegada para el Control, el Grupo de Control Interno Disciplinario de la Secretaría General de la SuperVigilancia, mediante Auto No. 2024340000238CS del 07 de mayo de 2024 dispuso iniciar </w:t>
      </w:r>
      <w:r w:rsidDel="00000000" w:rsidR="00000000" w:rsidRPr="00000000">
        <w:rPr>
          <w:rFonts w:ascii="Verdana" w:cs="Verdana" w:eastAsia="Verdana" w:hAnsi="Verdana"/>
          <w:b w:val="1"/>
          <w:rtl w:val="0"/>
        </w:rPr>
        <w:t xml:space="preserve">INDAGACIÓN PRELIMINAR</w:t>
      </w:r>
      <w:r w:rsidDel="00000000" w:rsidR="00000000" w:rsidRPr="00000000">
        <w:rPr>
          <w:rFonts w:ascii="Verdana" w:cs="Verdana" w:eastAsia="Verdana" w:hAnsi="Verdana"/>
          <w:rtl w:val="0"/>
        </w:rPr>
        <w:t xml:space="preserve">. Dentro de la indagación, se allegaron al plenario y se practicaron los siguientes medios de prueba: </w:t>
      </w:r>
    </w:p>
    <w:p w:rsidR="00000000" w:rsidDel="00000000" w:rsidP="00000000" w:rsidRDefault="00000000" w:rsidRPr="00000000" w14:paraId="00000033">
      <w:pPr>
        <w:spacing w:line="240" w:lineRule="auto"/>
        <w:ind w:left="0" w:firstLine="0"/>
        <w:jc w:val="both"/>
        <w:rPr>
          <w:rFonts w:ascii="Verdana" w:cs="Verdana" w:eastAsia="Verdana" w:hAnsi="Verdana"/>
        </w:rPr>
      </w:pPr>
      <w:r w:rsidDel="00000000" w:rsidR="00000000" w:rsidRPr="00000000">
        <w:rPr>
          <w:rtl w:val="0"/>
        </w:rPr>
      </w:r>
    </w:p>
    <w:p w:rsidR="00000000" w:rsidDel="00000000" w:rsidP="00000000" w:rsidRDefault="00000000" w:rsidRPr="00000000" w14:paraId="00000034">
      <w:pPr>
        <w:numPr>
          <w:ilvl w:val="0"/>
          <w:numId w:val="2"/>
        </w:numPr>
        <w:spacing w:line="240" w:lineRule="auto"/>
        <w:ind w:left="720" w:hanging="360"/>
        <w:jc w:val="both"/>
        <w:rPr>
          <w:rFonts w:ascii="Verdana" w:cs="Verdana" w:eastAsia="Verdana" w:hAnsi="Verdana"/>
        </w:rPr>
      </w:pPr>
      <w:r w:rsidDel="00000000" w:rsidR="00000000" w:rsidRPr="00000000">
        <w:rPr>
          <w:rFonts w:ascii="Verdana" w:cs="Verdana" w:eastAsia="Verdana" w:hAnsi="Verdana"/>
          <w:rtl w:val="0"/>
        </w:rPr>
        <w:t xml:space="preserve">Memorando No. 20243700008543CS del 12 de junio de 2024 por medio del cual el Coordinador de Grupo Atención al Usuario remite, con destino a la actuación previa solicitud, certificación escrita sobre las dependencias que se encargaron de la tramitación del radicado No. 20190122012 del 20 de mayo de 2019, así como los funcionarios que tuvieron a cargo mencionado radicado.</w:t>
      </w:r>
    </w:p>
    <w:p w:rsidR="00000000" w:rsidDel="00000000" w:rsidP="00000000" w:rsidRDefault="00000000" w:rsidRPr="00000000" w14:paraId="00000035">
      <w:pPr>
        <w:spacing w:line="240" w:lineRule="auto"/>
        <w:ind w:left="720" w:firstLine="0"/>
        <w:jc w:val="both"/>
        <w:rPr>
          <w:rFonts w:ascii="Verdana" w:cs="Verdana" w:eastAsia="Verdana" w:hAnsi="Verdana"/>
        </w:rPr>
      </w:pPr>
      <w:r w:rsidDel="00000000" w:rsidR="00000000" w:rsidRPr="00000000">
        <w:rPr>
          <w:rtl w:val="0"/>
        </w:rPr>
      </w:r>
    </w:p>
    <w:p w:rsidR="00000000" w:rsidDel="00000000" w:rsidP="00000000" w:rsidRDefault="00000000" w:rsidRPr="00000000" w14:paraId="00000036">
      <w:pPr>
        <w:spacing w:line="240"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Si bien, por parte de la Coordinación del Grupo de Control Interno Disciplinario se reiteró de forma urgente la solicitud de certificación escrita donde conste la trazabilidad del previo radicado, lo cierto es que no se recibió respuesta al respecto. </w:t>
      </w:r>
    </w:p>
    <w:p w:rsidR="00000000" w:rsidDel="00000000" w:rsidP="00000000" w:rsidRDefault="00000000" w:rsidRPr="00000000" w14:paraId="00000037">
      <w:pPr>
        <w:spacing w:line="240" w:lineRule="auto"/>
        <w:ind w:left="720" w:firstLine="0"/>
        <w:jc w:val="center"/>
        <w:rPr>
          <w:rFonts w:ascii="Verdana" w:cs="Verdana" w:eastAsia="Verdana" w:hAnsi="Verdana"/>
          <w:b w:val="1"/>
        </w:rPr>
      </w:pPr>
      <w:r w:rsidDel="00000000" w:rsidR="00000000" w:rsidRPr="00000000">
        <w:rPr>
          <w:rtl w:val="0"/>
        </w:rPr>
      </w:r>
    </w:p>
    <w:p w:rsidR="00000000" w:rsidDel="00000000" w:rsidP="00000000" w:rsidRDefault="00000000" w:rsidRPr="00000000" w14:paraId="00000038">
      <w:pPr>
        <w:numPr>
          <w:ilvl w:val="0"/>
          <w:numId w:val="4"/>
        </w:numPr>
        <w:spacing w:line="240" w:lineRule="auto"/>
        <w:ind w:left="720" w:hanging="360"/>
        <w:jc w:val="center"/>
        <w:rPr>
          <w:rFonts w:ascii="Verdana" w:cs="Verdana" w:eastAsia="Verdana" w:hAnsi="Verdana"/>
          <w:b w:val="1"/>
        </w:rPr>
      </w:pPr>
      <w:r w:rsidDel="00000000" w:rsidR="00000000" w:rsidRPr="00000000">
        <w:rPr>
          <w:rFonts w:ascii="Verdana" w:cs="Verdana" w:eastAsia="Verdana" w:hAnsi="Verdana"/>
          <w:b w:val="1"/>
          <w:rtl w:val="0"/>
        </w:rPr>
        <w:t xml:space="preserve">FUNDAMENTO JURÍDICO</w:t>
      </w:r>
    </w:p>
    <w:p w:rsidR="00000000" w:rsidDel="00000000" w:rsidP="00000000" w:rsidRDefault="00000000" w:rsidRPr="00000000" w14:paraId="00000039">
      <w:pPr>
        <w:spacing w:line="240" w:lineRule="auto"/>
        <w:jc w:val="center"/>
        <w:rPr>
          <w:rFonts w:ascii="Verdana" w:cs="Verdana" w:eastAsia="Verdana" w:hAnsi="Verdana"/>
          <w:b w:val="1"/>
        </w:rPr>
      </w:pPr>
      <w:r w:rsidDel="00000000" w:rsidR="00000000" w:rsidRPr="00000000">
        <w:rPr>
          <w:rtl w:val="0"/>
        </w:rPr>
      </w:r>
    </w:p>
    <w:p w:rsidR="00000000" w:rsidDel="00000000" w:rsidP="00000000" w:rsidRDefault="00000000" w:rsidRPr="00000000" w14:paraId="0000003A">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Conforme a lo dispuesto en el artículo 90 de la Ley 1952 de 2019, la terminación del proceso disciplinario se puede presentar en cualquier etapa de la actuación, ante la ocurrencia de alguna o algunas de las siguientes causales:</w:t>
      </w:r>
    </w:p>
    <w:p w:rsidR="00000000" w:rsidDel="00000000" w:rsidP="00000000" w:rsidRDefault="00000000" w:rsidRPr="00000000" w14:paraId="0000003B">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3C">
      <w:pPr>
        <w:numPr>
          <w:ilvl w:val="0"/>
          <w:numId w:val="1"/>
        </w:numPr>
        <w:spacing w:line="240" w:lineRule="auto"/>
        <w:ind w:left="1080" w:hanging="720"/>
        <w:jc w:val="both"/>
        <w:rPr>
          <w:rFonts w:ascii="Verdana" w:cs="Verdana" w:eastAsia="Verdana" w:hAnsi="Verdana"/>
        </w:rPr>
      </w:pPr>
      <w:r w:rsidDel="00000000" w:rsidR="00000000" w:rsidRPr="00000000">
        <w:rPr>
          <w:rFonts w:ascii="Verdana" w:cs="Verdana" w:eastAsia="Verdana" w:hAnsi="Verdana"/>
          <w:rtl w:val="0"/>
        </w:rPr>
        <w:t xml:space="preserve">Que aparezca plenamente demostrado que el hecho atribuido no existió.</w:t>
      </w:r>
    </w:p>
    <w:p w:rsidR="00000000" w:rsidDel="00000000" w:rsidP="00000000" w:rsidRDefault="00000000" w:rsidRPr="00000000" w14:paraId="0000003D">
      <w:pPr>
        <w:numPr>
          <w:ilvl w:val="0"/>
          <w:numId w:val="1"/>
        </w:numPr>
        <w:spacing w:line="240" w:lineRule="auto"/>
        <w:ind w:left="1080" w:hanging="720"/>
        <w:jc w:val="both"/>
        <w:rPr>
          <w:rFonts w:ascii="Verdana" w:cs="Verdana" w:eastAsia="Verdana" w:hAnsi="Verdana"/>
        </w:rPr>
      </w:pPr>
      <w:r w:rsidDel="00000000" w:rsidR="00000000" w:rsidRPr="00000000">
        <w:rPr>
          <w:rFonts w:ascii="Verdana" w:cs="Verdana" w:eastAsia="Verdana" w:hAnsi="Verdana"/>
          <w:rtl w:val="0"/>
        </w:rPr>
        <w:t xml:space="preserve">Que la conducta no está prevista en la ley como falta disciplinaria.</w:t>
      </w:r>
    </w:p>
    <w:p w:rsidR="00000000" w:rsidDel="00000000" w:rsidP="00000000" w:rsidRDefault="00000000" w:rsidRPr="00000000" w14:paraId="0000003E">
      <w:pPr>
        <w:numPr>
          <w:ilvl w:val="0"/>
          <w:numId w:val="1"/>
        </w:numPr>
        <w:spacing w:line="240" w:lineRule="auto"/>
        <w:ind w:left="1080" w:hanging="720"/>
        <w:jc w:val="both"/>
        <w:rPr>
          <w:rFonts w:ascii="Verdana" w:cs="Verdana" w:eastAsia="Verdana" w:hAnsi="Verdana"/>
        </w:rPr>
      </w:pPr>
      <w:r w:rsidDel="00000000" w:rsidR="00000000" w:rsidRPr="00000000">
        <w:rPr>
          <w:rFonts w:ascii="Verdana" w:cs="Verdana" w:eastAsia="Verdana" w:hAnsi="Verdana"/>
          <w:rtl w:val="0"/>
        </w:rPr>
        <w:t xml:space="preserve">Que el disciplinado no la cometió.</w:t>
      </w:r>
    </w:p>
    <w:p w:rsidR="00000000" w:rsidDel="00000000" w:rsidP="00000000" w:rsidRDefault="00000000" w:rsidRPr="00000000" w14:paraId="0000003F">
      <w:pPr>
        <w:numPr>
          <w:ilvl w:val="0"/>
          <w:numId w:val="1"/>
        </w:numPr>
        <w:spacing w:line="240" w:lineRule="auto"/>
        <w:ind w:left="1080" w:hanging="720"/>
        <w:jc w:val="both"/>
        <w:rPr>
          <w:rFonts w:ascii="Verdana" w:cs="Verdana" w:eastAsia="Verdana" w:hAnsi="Verdana"/>
        </w:rPr>
      </w:pPr>
      <w:r w:rsidDel="00000000" w:rsidR="00000000" w:rsidRPr="00000000">
        <w:rPr>
          <w:rFonts w:ascii="Verdana" w:cs="Verdana" w:eastAsia="Verdana" w:hAnsi="Verdana"/>
          <w:rtl w:val="0"/>
        </w:rPr>
        <w:t xml:space="preserve">Que existe una causal de exclusión de responsabilidad.</w:t>
      </w:r>
    </w:p>
    <w:p w:rsidR="00000000" w:rsidDel="00000000" w:rsidP="00000000" w:rsidRDefault="00000000" w:rsidRPr="00000000" w14:paraId="00000040">
      <w:pPr>
        <w:numPr>
          <w:ilvl w:val="0"/>
          <w:numId w:val="1"/>
        </w:numPr>
        <w:spacing w:line="240" w:lineRule="auto"/>
        <w:ind w:left="1080" w:hanging="720"/>
        <w:jc w:val="both"/>
        <w:rPr>
          <w:rFonts w:ascii="Verdana" w:cs="Verdana" w:eastAsia="Verdana" w:hAnsi="Verdana"/>
        </w:rPr>
      </w:pPr>
      <w:r w:rsidDel="00000000" w:rsidR="00000000" w:rsidRPr="00000000">
        <w:rPr>
          <w:rFonts w:ascii="Verdana" w:cs="Verdana" w:eastAsia="Verdana" w:hAnsi="Verdana"/>
          <w:rtl w:val="0"/>
        </w:rPr>
        <w:t xml:space="preserve">Que la actuación no podía iniciarse o proseguirse</w:t>
      </w:r>
    </w:p>
    <w:p w:rsidR="00000000" w:rsidDel="00000000" w:rsidP="00000000" w:rsidRDefault="00000000" w:rsidRPr="00000000" w14:paraId="00000041">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42">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En concordancia con lo anterior, el artículo 33 de la Ley 1952 de 2019 [modificado por el artículo 7 de la Ley 2094 del 2021], señaló:</w:t>
      </w:r>
    </w:p>
    <w:p w:rsidR="00000000" w:rsidDel="00000000" w:rsidP="00000000" w:rsidRDefault="00000000" w:rsidRPr="00000000" w14:paraId="00000043">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44">
      <w:pPr>
        <w:spacing w:line="240" w:lineRule="auto"/>
        <w:ind w:left="72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w:t>
      </w:r>
      <w:r w:rsidDel="00000000" w:rsidR="00000000" w:rsidRPr="00000000">
        <w:rPr>
          <w:rFonts w:ascii="Verdana" w:cs="Verdana" w:eastAsia="Verdana" w:hAnsi="Verdana"/>
          <w:b w:val="1"/>
          <w:i w:val="1"/>
          <w:rtl w:val="0"/>
        </w:rPr>
        <w:t xml:space="preserve">Artículo 33.</w:t>
      </w:r>
      <w:r w:rsidDel="00000000" w:rsidR="00000000" w:rsidRPr="00000000">
        <w:rPr>
          <w:rFonts w:ascii="Verdana" w:cs="Verdana" w:eastAsia="Verdana" w:hAnsi="Verdana"/>
          <w:i w:val="1"/>
          <w:rtl w:val="0"/>
        </w:rPr>
        <w:t xml:space="preserve"> Prescripción de la acción disciplinaria. La acción disciplinaria prescribirá en cinco (5) años contados para las faltas instantáneas desde el día de su consumación, para las de carácter permanente o continuado, desde la realización del último hecho o acto y para las omisivas, cuando haya cesado el deber de actuar. </w:t>
      </w:r>
    </w:p>
    <w:p w:rsidR="00000000" w:rsidDel="00000000" w:rsidP="00000000" w:rsidRDefault="00000000" w:rsidRPr="00000000" w14:paraId="00000045">
      <w:pPr>
        <w:spacing w:line="240" w:lineRule="auto"/>
        <w:ind w:left="72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  </w:t>
      </w:r>
    </w:p>
    <w:p w:rsidR="00000000" w:rsidDel="00000000" w:rsidP="00000000" w:rsidRDefault="00000000" w:rsidRPr="00000000" w14:paraId="00000046">
      <w:pPr>
        <w:spacing w:line="240" w:lineRule="auto"/>
        <w:ind w:left="72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Cuando fueren varias las conductas juzgadas en un mismo proceso la prescripción se cumple independientemente para cada una de ellas. </w:t>
      </w:r>
    </w:p>
    <w:p w:rsidR="00000000" w:rsidDel="00000000" w:rsidP="00000000" w:rsidRDefault="00000000" w:rsidRPr="00000000" w14:paraId="00000047">
      <w:pPr>
        <w:spacing w:line="240" w:lineRule="auto"/>
        <w:ind w:left="72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  </w:t>
      </w:r>
    </w:p>
    <w:p w:rsidR="00000000" w:rsidDel="00000000" w:rsidP="00000000" w:rsidRDefault="00000000" w:rsidRPr="00000000" w14:paraId="00000048">
      <w:pPr>
        <w:spacing w:line="240" w:lineRule="auto"/>
        <w:ind w:left="72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La prescripción se interrumpirá con la notificación del fallo de primera instancia. Interrumpida la prescripción, esta se producirá si transcurridos dos (2) años desde la notificación del fallo de primera instancia no se notifica la decisión de segunda instancia. Para las faltas señaladas en el artículo 52 de este Código, el término de prescripción será de doce (12) años. La prescripción, en estos casos, se interrumpirá con la notificación del fallo de primera instancia. Interrumpida la prescripción, esta se producirá si transcurridos tres (3) años desde la notificación del fallo de primera instancia no se ha notificado la decisión de segunda instancia. </w:t>
      </w:r>
    </w:p>
    <w:p w:rsidR="00000000" w:rsidDel="00000000" w:rsidP="00000000" w:rsidRDefault="00000000" w:rsidRPr="00000000" w14:paraId="00000049">
      <w:pPr>
        <w:spacing w:line="240" w:lineRule="auto"/>
        <w:ind w:left="72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  </w:t>
      </w:r>
    </w:p>
    <w:p w:rsidR="00000000" w:rsidDel="00000000" w:rsidP="00000000" w:rsidRDefault="00000000" w:rsidRPr="00000000" w14:paraId="0000004A">
      <w:pPr>
        <w:spacing w:line="240" w:lineRule="auto"/>
        <w:ind w:left="72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Parágrafo. Los términos prescriptivos aquí previstos quedan sujetos a lo establecido en los tratados internacionales que Colombia ratifique.”</w:t>
      </w:r>
    </w:p>
    <w:p w:rsidR="00000000" w:rsidDel="00000000" w:rsidP="00000000" w:rsidRDefault="00000000" w:rsidRPr="00000000" w14:paraId="0000004B">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4C">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En suma, conforme a lo expuesto, el proceso disciplinario deberá terminarse a través del archivo definitivo de las diligencias adelantadas cuando entre otras causales, la actuación no puede proseguir; y esta hipótesis se concreta con la prescripción de la acción disciplinaria.</w:t>
      </w:r>
    </w:p>
    <w:p w:rsidR="00000000" w:rsidDel="00000000" w:rsidP="00000000" w:rsidRDefault="00000000" w:rsidRPr="00000000" w14:paraId="0000004D">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4E">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La Corte Constitucional respecto a la prescripción de la acción disciplinaria ha señalado que, el vencimiento del plazo establecido en la Ley para adelantar los procesos disciplinarios genera la pérdida de potestad de la administración para imponer sanciones respecto a la comisión de un hecho con presunta connotación disciplinaria. Así, en sentencia C-244 de 1996, dicha Corporación estableció:</w:t>
      </w:r>
    </w:p>
    <w:p w:rsidR="00000000" w:rsidDel="00000000" w:rsidP="00000000" w:rsidRDefault="00000000" w:rsidRPr="00000000" w14:paraId="0000004F">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50">
      <w:pPr>
        <w:spacing w:line="240" w:lineRule="auto"/>
        <w:ind w:left="72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 La prescripción de la acción es un instituto jurídico liberador, en virtud del cual por el transcurso del tiempo se extingue la acción o cesa el derecho del Estado a imponer una sanción.</w:t>
      </w:r>
    </w:p>
    <w:p w:rsidR="00000000" w:rsidDel="00000000" w:rsidP="00000000" w:rsidRDefault="00000000" w:rsidRPr="00000000" w14:paraId="00000051">
      <w:pPr>
        <w:spacing w:line="240" w:lineRule="auto"/>
        <w:ind w:left="720" w:firstLine="0"/>
        <w:jc w:val="both"/>
        <w:rPr>
          <w:rFonts w:ascii="Verdana" w:cs="Verdana" w:eastAsia="Verdana" w:hAnsi="Verdana"/>
          <w:i w:val="1"/>
        </w:rPr>
      </w:pPr>
      <w:r w:rsidDel="00000000" w:rsidR="00000000" w:rsidRPr="00000000">
        <w:rPr>
          <w:rtl w:val="0"/>
        </w:rPr>
      </w:r>
    </w:p>
    <w:p w:rsidR="00000000" w:rsidDel="00000000" w:rsidP="00000000" w:rsidRDefault="00000000" w:rsidRPr="00000000" w14:paraId="00000052">
      <w:pPr>
        <w:spacing w:line="240" w:lineRule="auto"/>
        <w:ind w:left="72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Este fenómeno tiene operancia en materia disciplinaria, cuando la Administración a la Procuraduría General de la Nación, dejan vencer el plazo señalado por el legislador, -5 años, sin haber adelantado y concluido el proceso respectivo, con decisión de mérito. El vencimiento de dicho lapso implica para dichas entidades la pérdida de la potestad de imponer sanciones, es decir, que una vez cumplido dicho periodo sin que se haya dictado y ejecutoriado la providencia que te ponga fin a la actuación disciplinaria, no se podrá ejercitar la acción disciplinaria en contra del beneficiada con la prescripción.</w:t>
      </w:r>
    </w:p>
    <w:p w:rsidR="00000000" w:rsidDel="00000000" w:rsidP="00000000" w:rsidRDefault="00000000" w:rsidRPr="00000000" w14:paraId="00000053">
      <w:pPr>
        <w:spacing w:line="240" w:lineRule="auto"/>
        <w:ind w:left="720" w:firstLine="0"/>
        <w:jc w:val="both"/>
        <w:rPr>
          <w:rFonts w:ascii="Verdana" w:cs="Verdana" w:eastAsia="Verdana" w:hAnsi="Verdana"/>
          <w:i w:val="1"/>
        </w:rPr>
      </w:pPr>
      <w:r w:rsidDel="00000000" w:rsidR="00000000" w:rsidRPr="00000000">
        <w:rPr>
          <w:rtl w:val="0"/>
        </w:rPr>
      </w:r>
    </w:p>
    <w:p w:rsidR="00000000" w:rsidDel="00000000" w:rsidP="00000000" w:rsidRDefault="00000000" w:rsidRPr="00000000" w14:paraId="00000054">
      <w:pPr>
        <w:spacing w:line="240" w:lineRule="auto"/>
        <w:ind w:left="72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El fin esencial de la prescripción de la acción disciplinaria, está íntimamente ligado con el derecho que tiene el procesado a que se le defina su situación jurídica, pues no puede el servidor público quedar sujeto Indefinidamente a una imputación. Si la acción disciplinaria tiene como objetivo resguardar el buen nombre de la administración pública, su eficiencia y moralidad, es obvio que ésta debe apresurarse a cumplir con su misión de sancionar al Infractor del régimen disciplinario, pues de no hacerlo incumpliría una de sus tareas y, obviamente, desvirtuaría el poder corrector que tiene sobre los servidores estatales. "La defensa social no se ejerce dejando los procesos en suspenso, sino resolviéndolos.... Si el proceso no se resuelve, no será por obra del infractor, sino, ordinariamente, por la obra de la despreocupación de la insolvencia técnica de los encargados de juzgar”.</w:t>
      </w:r>
    </w:p>
    <w:p w:rsidR="00000000" w:rsidDel="00000000" w:rsidP="00000000" w:rsidRDefault="00000000" w:rsidRPr="00000000" w14:paraId="00000055">
      <w:pPr>
        <w:spacing w:line="240" w:lineRule="auto"/>
        <w:rPr>
          <w:rFonts w:ascii="Verdana" w:cs="Verdana" w:eastAsia="Verdana" w:hAnsi="Verdana"/>
          <w:b w:val="1"/>
        </w:rPr>
      </w:pPr>
      <w:r w:rsidDel="00000000" w:rsidR="00000000" w:rsidRPr="00000000">
        <w:rPr>
          <w:rtl w:val="0"/>
        </w:rPr>
      </w:r>
    </w:p>
    <w:p w:rsidR="00000000" w:rsidDel="00000000" w:rsidP="00000000" w:rsidRDefault="00000000" w:rsidRPr="00000000" w14:paraId="00000056">
      <w:pPr>
        <w:numPr>
          <w:ilvl w:val="0"/>
          <w:numId w:val="4"/>
        </w:numPr>
        <w:spacing w:line="240" w:lineRule="auto"/>
        <w:ind w:left="720" w:hanging="360"/>
        <w:jc w:val="center"/>
        <w:rPr>
          <w:rFonts w:ascii="Verdana" w:cs="Verdana" w:eastAsia="Verdana" w:hAnsi="Verdana"/>
          <w:b w:val="1"/>
        </w:rPr>
      </w:pPr>
      <w:r w:rsidDel="00000000" w:rsidR="00000000" w:rsidRPr="00000000">
        <w:rPr>
          <w:rFonts w:ascii="Verdana" w:cs="Verdana" w:eastAsia="Verdana" w:hAnsi="Verdana"/>
          <w:b w:val="1"/>
          <w:rtl w:val="0"/>
        </w:rPr>
        <w:t xml:space="preserve">CONSIDERACIONES DEL DESPACHO</w:t>
      </w:r>
    </w:p>
    <w:p w:rsidR="00000000" w:rsidDel="00000000" w:rsidP="00000000" w:rsidRDefault="00000000" w:rsidRPr="00000000" w14:paraId="00000057">
      <w:pPr>
        <w:spacing w:line="240" w:lineRule="auto"/>
        <w:ind w:left="720" w:firstLine="0"/>
        <w:jc w:val="center"/>
        <w:rPr>
          <w:rFonts w:ascii="Verdana" w:cs="Verdana" w:eastAsia="Verdana" w:hAnsi="Verdana"/>
          <w:b w:val="1"/>
        </w:rPr>
      </w:pPr>
      <w:r w:rsidDel="00000000" w:rsidR="00000000" w:rsidRPr="00000000">
        <w:rPr>
          <w:rtl w:val="0"/>
        </w:rPr>
      </w:r>
    </w:p>
    <w:p w:rsidR="00000000" w:rsidDel="00000000" w:rsidP="00000000" w:rsidRDefault="00000000" w:rsidRPr="00000000" w14:paraId="00000058">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El Grupo de Control Interno Disciplinario, una vez verificado el expediente disciplinario No. 016-2020,</w:t>
      </w:r>
      <w:r w:rsidDel="00000000" w:rsidR="00000000" w:rsidRPr="00000000">
        <w:rPr>
          <w:rFonts w:ascii="Verdana" w:cs="Verdana" w:eastAsia="Verdana" w:hAnsi="Verdana"/>
          <w:b w:val="1"/>
          <w:rtl w:val="0"/>
        </w:rPr>
        <w:t xml:space="preserve"> </w:t>
      </w:r>
      <w:r w:rsidDel="00000000" w:rsidR="00000000" w:rsidRPr="00000000">
        <w:rPr>
          <w:rFonts w:ascii="Verdana" w:cs="Verdana" w:eastAsia="Verdana" w:hAnsi="Verdana"/>
          <w:rtl w:val="0"/>
        </w:rPr>
        <w:t xml:space="preserve">evidenció que se cumplen los presupuestos legales  establecidos en el artículo 33 de la Ley 1952 del 2019</w:t>
      </w:r>
      <w:r w:rsidDel="00000000" w:rsidR="00000000" w:rsidRPr="00000000">
        <w:rPr>
          <w:rFonts w:ascii="Verdana" w:cs="Verdana" w:eastAsia="Verdana" w:hAnsi="Verdana"/>
          <w:b w:val="1"/>
          <w:rtl w:val="0"/>
        </w:rPr>
        <w:t xml:space="preserve"> </w:t>
      </w:r>
      <w:r w:rsidDel="00000000" w:rsidR="00000000" w:rsidRPr="00000000">
        <w:rPr>
          <w:rFonts w:ascii="Verdana" w:cs="Verdana" w:eastAsia="Verdana" w:hAnsi="Verdana"/>
          <w:rtl w:val="0"/>
        </w:rPr>
        <w:t xml:space="preserve">[modificado por el artículo 7 de la Ley 2094 del 2021], en lo relativo a la prescripción de la acción disciplinaria, esto es: </w:t>
      </w:r>
    </w:p>
    <w:p w:rsidR="00000000" w:rsidDel="00000000" w:rsidP="00000000" w:rsidRDefault="00000000" w:rsidRPr="00000000" w14:paraId="00000059">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5A">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De conformidad con el contenido del correo electrónico del 19 de junio de 2020, desde la Superintendencia de Vigilancia y Seguridad se omitió dar respuesta de fondo al requerimiento con radicado No.20190122012 del 20 de mayo de 2019, presentado por la entidad GESTIÓN DE SEGURIDAD ELECTRÓNICA S.A. - GSE S.A.. Ahora bien, respecto al requerimiento el artículo 14 del C.P.A.C.A. establece que el término para dar trámite a los derechos de petición corresponde a 15 días siguientes a la recepción. En ese sentido, la Superintendencia de Vigilancia y Seguridad Privada tenía hasta el 11 de junio de 2019 para remitir respuesta, sin embargo, este plazo no se cumplió, pues no se dio respuesta alguna. </w:t>
      </w:r>
    </w:p>
    <w:p w:rsidR="00000000" w:rsidDel="00000000" w:rsidP="00000000" w:rsidRDefault="00000000" w:rsidRPr="00000000" w14:paraId="0000005B">
      <w:pPr>
        <w:spacing w:after="240" w:before="240" w:lineRule="auto"/>
        <w:jc w:val="both"/>
        <w:rPr>
          <w:rFonts w:ascii="Verdana" w:cs="Verdana" w:eastAsia="Verdana" w:hAnsi="Verdana"/>
        </w:rPr>
      </w:pPr>
      <w:r w:rsidDel="00000000" w:rsidR="00000000" w:rsidRPr="00000000">
        <w:rPr>
          <w:rFonts w:ascii="Verdana" w:cs="Verdana" w:eastAsia="Verdana" w:hAnsi="Verdana"/>
          <w:rtl w:val="0"/>
        </w:rPr>
        <w:t xml:space="preserve">Respecto del término de prescripción de la acción disciplinaria de acuerdo a lo dispuesto por el artículo 33 de la Ley 1952 de 2019 [modificado por el artículo 7 de la Ley 2094 del 2021] a efecto de su contabilización se tomará, como lo dispone la norma en comento, la fecha </w:t>
      </w:r>
      <w:r w:rsidDel="00000000" w:rsidR="00000000" w:rsidRPr="00000000">
        <w:rPr>
          <w:rFonts w:ascii="Verdana" w:cs="Verdana" w:eastAsia="Verdana" w:hAnsi="Verdana"/>
          <w:i w:val="1"/>
          <w:rtl w:val="0"/>
        </w:rPr>
        <w:t xml:space="preserve">cuando haya cesado el deber de actuar</w:t>
      </w:r>
      <w:r w:rsidDel="00000000" w:rsidR="00000000" w:rsidRPr="00000000">
        <w:rPr>
          <w:rFonts w:ascii="Verdana" w:cs="Verdana" w:eastAsia="Verdana" w:hAnsi="Verdana"/>
          <w:rtl w:val="0"/>
        </w:rPr>
        <w:t xml:space="preserve">, esto es el día siguiente al vencimiento del plazo para el cargue del Plan de Mejoramiento.</w:t>
      </w:r>
    </w:p>
    <w:p w:rsidR="00000000" w:rsidDel="00000000" w:rsidP="00000000" w:rsidRDefault="00000000" w:rsidRPr="00000000" w14:paraId="0000005C">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No obstante deberán ser adicionados, 152 días de suspensión de términos</w:t>
      </w:r>
      <w:r w:rsidDel="00000000" w:rsidR="00000000" w:rsidRPr="00000000">
        <w:rPr>
          <w:rFonts w:ascii="Verdana" w:cs="Verdana" w:eastAsia="Verdana" w:hAnsi="Verdana"/>
          <w:vertAlign w:val="superscript"/>
        </w:rPr>
        <w:footnoteReference w:customMarkFollows="0" w:id="0"/>
      </w:r>
      <w:r w:rsidDel="00000000" w:rsidR="00000000" w:rsidRPr="00000000">
        <w:rPr>
          <w:rFonts w:ascii="Verdana" w:cs="Verdana" w:eastAsia="Verdana" w:hAnsi="Verdana"/>
          <w:rtl w:val="0"/>
        </w:rPr>
        <w:t xml:space="preserve"> con ocasión de la emergencia sanitaria por pandemia declarada por el Ministerio de Salud y 30 días de suspensión de términos</w:t>
      </w:r>
      <w:r w:rsidDel="00000000" w:rsidR="00000000" w:rsidRPr="00000000">
        <w:rPr>
          <w:rFonts w:ascii="Verdana" w:cs="Verdana" w:eastAsia="Verdana" w:hAnsi="Verdana"/>
          <w:vertAlign w:val="superscript"/>
        </w:rPr>
        <w:footnoteReference w:customMarkFollows="0" w:id="1"/>
      </w:r>
      <w:r w:rsidDel="00000000" w:rsidR="00000000" w:rsidRPr="00000000">
        <w:rPr>
          <w:rFonts w:ascii="Verdana" w:cs="Verdana" w:eastAsia="Verdana" w:hAnsi="Verdana"/>
          <w:rtl w:val="0"/>
        </w:rPr>
        <w:t xml:space="preserve"> con ocasión de fallas en el gestor documental, siendo dable establecer que la prescripción de la acción disciplinaria se configuró el 29 de junio de 2024.</w:t>
      </w:r>
    </w:p>
    <w:p w:rsidR="00000000" w:rsidDel="00000000" w:rsidP="00000000" w:rsidRDefault="00000000" w:rsidRPr="00000000" w14:paraId="0000005D">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5E">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5F">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Así, se tiene lo siguiente:</w:t>
      </w:r>
    </w:p>
    <w:p w:rsidR="00000000" w:rsidDel="00000000" w:rsidP="00000000" w:rsidRDefault="00000000" w:rsidRPr="00000000" w14:paraId="00000060">
      <w:pPr>
        <w:spacing w:line="240" w:lineRule="auto"/>
        <w:jc w:val="both"/>
        <w:rPr>
          <w:rFonts w:ascii="Verdana" w:cs="Verdana" w:eastAsia="Verdana" w:hAnsi="Verdana"/>
          <w:sz w:val="24"/>
          <w:szCs w:val="24"/>
        </w:rPr>
      </w:pPr>
      <w:r w:rsidDel="00000000" w:rsidR="00000000" w:rsidRPr="00000000">
        <w:rPr>
          <w:rtl w:val="0"/>
        </w:rPr>
      </w:r>
    </w:p>
    <w:tbl>
      <w:tblPr>
        <w:tblStyle w:val="Table2"/>
        <w:tblW w:w="10185.0" w:type="dxa"/>
        <w:jc w:val="left"/>
        <w:tblInd w:w="-4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15"/>
        <w:gridCol w:w="1680"/>
        <w:gridCol w:w="1740"/>
        <w:gridCol w:w="2325"/>
        <w:gridCol w:w="2325"/>
        <w:tblGridChange w:id="0">
          <w:tblGrid>
            <w:gridCol w:w="2115"/>
            <w:gridCol w:w="1680"/>
            <w:gridCol w:w="1740"/>
            <w:gridCol w:w="2325"/>
            <w:gridCol w:w="2325"/>
          </w:tblGrid>
        </w:tblGridChange>
      </w:tblGrid>
      <w:tr>
        <w:trPr>
          <w:cantSplit w:val="0"/>
          <w:tblHeader w:val="0"/>
        </w:trPr>
        <w:tc>
          <w:tcPr/>
          <w:p w:rsidR="00000000" w:rsidDel="00000000" w:rsidP="00000000" w:rsidRDefault="00000000" w:rsidRPr="00000000" w14:paraId="00000061">
            <w:pPr>
              <w:spacing w:line="240" w:lineRule="auto"/>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FECHA RECEPCIÓN REQUERIMIENTO</w:t>
            </w:r>
            <w:r w:rsidDel="00000000" w:rsidR="00000000" w:rsidRPr="00000000">
              <w:rPr>
                <w:rtl w:val="0"/>
              </w:rPr>
            </w:r>
          </w:p>
        </w:tc>
        <w:tc>
          <w:tcPr/>
          <w:p w:rsidR="00000000" w:rsidDel="00000000" w:rsidP="00000000" w:rsidRDefault="00000000" w:rsidRPr="00000000" w14:paraId="00000062">
            <w:pPr>
              <w:spacing w:line="240" w:lineRule="auto"/>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FECHA VENCIMIENTO TÉRMINO RESPUESTA</w:t>
            </w:r>
          </w:p>
        </w:tc>
        <w:tc>
          <w:tcPr/>
          <w:p w:rsidR="00000000" w:rsidDel="00000000" w:rsidP="00000000" w:rsidRDefault="00000000" w:rsidRPr="00000000" w14:paraId="00000063">
            <w:pPr>
              <w:spacing w:line="240" w:lineRule="auto"/>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FECHA CUANDO CESÓ EL DEBER DE ACTUAR</w:t>
            </w:r>
            <w:r w:rsidDel="00000000" w:rsidR="00000000" w:rsidRPr="00000000">
              <w:rPr>
                <w:rtl w:val="0"/>
              </w:rPr>
            </w:r>
          </w:p>
        </w:tc>
        <w:tc>
          <w:tcPr/>
          <w:p w:rsidR="00000000" w:rsidDel="00000000" w:rsidP="00000000" w:rsidRDefault="00000000" w:rsidRPr="00000000" w14:paraId="00000064">
            <w:pPr>
              <w:spacing w:line="240" w:lineRule="auto"/>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FECHA DE PRESCRIPCIÓN  LA ACCIÓN DISCIPLINARIA</w:t>
            </w:r>
            <w:r w:rsidDel="00000000" w:rsidR="00000000" w:rsidRPr="00000000">
              <w:rPr>
                <w:rtl w:val="0"/>
              </w:rPr>
            </w:r>
          </w:p>
        </w:tc>
        <w:tc>
          <w:tcPr/>
          <w:p w:rsidR="00000000" w:rsidDel="00000000" w:rsidP="00000000" w:rsidRDefault="00000000" w:rsidRPr="00000000" w14:paraId="00000065">
            <w:pPr>
              <w:spacing w:line="240" w:lineRule="auto"/>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FECHA DE PRESCRIPCIÓN ACCIÓN DISCIPLINARIA + SUSPENSIÓN TÉRMINOS</w:t>
            </w:r>
          </w:p>
        </w:tc>
      </w:tr>
      <w:tr>
        <w:trPr>
          <w:cantSplit w:val="0"/>
          <w:trHeight w:val="554" w:hRule="atLeast"/>
          <w:tblHeader w:val="0"/>
        </w:trPr>
        <w:tc>
          <w:tcPr/>
          <w:p w:rsidR="00000000" w:rsidDel="00000000" w:rsidP="00000000" w:rsidRDefault="00000000" w:rsidRPr="00000000" w14:paraId="00000066">
            <w:pPr>
              <w:spacing w:line="240" w:lineRule="auto"/>
              <w:jc w:val="center"/>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67">
            <w:pPr>
              <w:spacing w:line="24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20/05/2019</w:t>
            </w:r>
          </w:p>
        </w:tc>
        <w:tc>
          <w:tcPr/>
          <w:p w:rsidR="00000000" w:rsidDel="00000000" w:rsidP="00000000" w:rsidRDefault="00000000" w:rsidRPr="00000000" w14:paraId="00000068">
            <w:pPr>
              <w:spacing w:line="240" w:lineRule="auto"/>
              <w:jc w:val="center"/>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69">
            <w:pPr>
              <w:spacing w:line="24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11/06/2019</w:t>
            </w:r>
          </w:p>
        </w:tc>
        <w:tc>
          <w:tcPr/>
          <w:p w:rsidR="00000000" w:rsidDel="00000000" w:rsidP="00000000" w:rsidRDefault="00000000" w:rsidRPr="00000000" w14:paraId="0000006A">
            <w:pPr>
              <w:spacing w:line="240" w:lineRule="auto"/>
              <w:jc w:val="center"/>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6B">
            <w:pPr>
              <w:spacing w:line="24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12/06/2019</w:t>
            </w:r>
          </w:p>
        </w:tc>
        <w:tc>
          <w:tcPr/>
          <w:p w:rsidR="00000000" w:rsidDel="00000000" w:rsidP="00000000" w:rsidRDefault="00000000" w:rsidRPr="00000000" w14:paraId="0000006C">
            <w:pPr>
              <w:spacing w:line="240" w:lineRule="auto"/>
              <w:jc w:val="center"/>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6D">
            <w:pPr>
              <w:spacing w:line="24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 12/06/2024</w:t>
            </w:r>
          </w:p>
        </w:tc>
        <w:tc>
          <w:tcPr/>
          <w:p w:rsidR="00000000" w:rsidDel="00000000" w:rsidP="00000000" w:rsidRDefault="00000000" w:rsidRPr="00000000" w14:paraId="0000006E">
            <w:pPr>
              <w:spacing w:line="240" w:lineRule="auto"/>
              <w:jc w:val="center"/>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6F">
            <w:pPr>
              <w:spacing w:line="24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11/12/2024</w:t>
            </w:r>
          </w:p>
        </w:tc>
      </w:tr>
    </w:tbl>
    <w:p w:rsidR="00000000" w:rsidDel="00000000" w:rsidP="00000000" w:rsidRDefault="00000000" w:rsidRPr="00000000" w14:paraId="00000070">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71">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Con todo, </w:t>
      </w:r>
    </w:p>
    <w:p w:rsidR="00000000" w:rsidDel="00000000" w:rsidP="00000000" w:rsidRDefault="00000000" w:rsidRPr="00000000" w14:paraId="00000072">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73">
      <w:pPr>
        <w:numPr>
          <w:ilvl w:val="0"/>
          <w:numId w:val="3"/>
        </w:numPr>
        <w:tabs>
          <w:tab w:val="left" w:leader="none" w:pos="284"/>
        </w:tabs>
        <w:spacing w:line="240" w:lineRule="auto"/>
        <w:ind w:left="720" w:hanging="10.999999999999943"/>
        <w:jc w:val="both"/>
        <w:rPr>
          <w:rFonts w:ascii="Verdana" w:cs="Verdana" w:eastAsia="Verdana" w:hAnsi="Verdana"/>
        </w:rPr>
      </w:pPr>
      <w:r w:rsidDel="00000000" w:rsidR="00000000" w:rsidRPr="00000000">
        <w:rPr>
          <w:rFonts w:ascii="Verdana" w:cs="Verdana" w:eastAsia="Verdana" w:hAnsi="Verdana"/>
          <w:rtl w:val="0"/>
        </w:rPr>
        <w:t xml:space="preserve">A la fecha de expedición del presente acto administrativo no se ha emitido ni notificado el fallo de primera instancia.</w:t>
      </w:r>
    </w:p>
    <w:p w:rsidR="00000000" w:rsidDel="00000000" w:rsidP="00000000" w:rsidRDefault="00000000" w:rsidRPr="00000000" w14:paraId="00000074">
      <w:pPr>
        <w:tabs>
          <w:tab w:val="left" w:leader="none" w:pos="284"/>
        </w:tabs>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75">
      <w:pPr>
        <w:numPr>
          <w:ilvl w:val="0"/>
          <w:numId w:val="3"/>
        </w:numPr>
        <w:tabs>
          <w:tab w:val="left" w:leader="none" w:pos="284"/>
        </w:tabs>
        <w:spacing w:line="240" w:lineRule="auto"/>
        <w:ind w:left="720" w:hanging="10.999999999999943"/>
        <w:jc w:val="both"/>
        <w:rPr>
          <w:rFonts w:ascii="Verdana" w:cs="Verdana" w:eastAsia="Verdana" w:hAnsi="Verdana"/>
        </w:rPr>
      </w:pPr>
      <w:r w:rsidDel="00000000" w:rsidR="00000000" w:rsidRPr="00000000">
        <w:rPr>
          <w:rFonts w:ascii="Verdana" w:cs="Verdana" w:eastAsia="Verdana" w:hAnsi="Verdana"/>
          <w:rtl w:val="0"/>
        </w:rPr>
        <w:t xml:space="preserve">En el presente asunto no se investigan conductas relacionadas con la infracción al Derecho Internacional de los Derechos Humanos y al Derecho Internacional Humanitario.</w:t>
      </w:r>
    </w:p>
    <w:p w:rsidR="00000000" w:rsidDel="00000000" w:rsidP="00000000" w:rsidRDefault="00000000" w:rsidRPr="00000000" w14:paraId="00000076">
      <w:pPr>
        <w:tabs>
          <w:tab w:val="left" w:leader="none" w:pos="284"/>
        </w:tabs>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77">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Conforme a lo anteriormente señalado, para el presente asunto, se debe decretar la prescripción de la acción disciplinaria y ordenar el archivo definitivo del expediente disciplinario No. 016-2020 de conformidad con las disposiciones contenidas en el artículo 90 de la Ley 1952 de 2019, en concordancia con el artículo 33 ibídem [modificado por el artículo 7 de la Ley 2094 del 2021].</w:t>
      </w:r>
    </w:p>
    <w:p w:rsidR="00000000" w:rsidDel="00000000" w:rsidP="00000000" w:rsidRDefault="00000000" w:rsidRPr="00000000" w14:paraId="00000078">
      <w:pPr>
        <w:spacing w:line="240" w:lineRule="auto"/>
        <w:jc w:val="both"/>
        <w:rPr>
          <w:rFonts w:ascii="Verdana" w:cs="Verdana" w:eastAsia="Verdana" w:hAnsi="Verdana"/>
          <w:highlight w:val="white"/>
        </w:rPr>
      </w:pPr>
      <w:r w:rsidDel="00000000" w:rsidR="00000000" w:rsidRPr="00000000">
        <w:rPr>
          <w:rtl w:val="0"/>
        </w:rPr>
      </w:r>
    </w:p>
    <w:p w:rsidR="00000000" w:rsidDel="00000000" w:rsidP="00000000" w:rsidRDefault="00000000" w:rsidRPr="00000000" w14:paraId="00000079">
      <w:pPr>
        <w:spacing w:line="240" w:lineRule="auto"/>
        <w:jc w:val="both"/>
        <w:rPr>
          <w:rFonts w:ascii="Verdana" w:cs="Verdana" w:eastAsia="Verdana" w:hAnsi="Verdana"/>
          <w:b w:val="1"/>
        </w:rPr>
      </w:pPr>
      <w:r w:rsidDel="00000000" w:rsidR="00000000" w:rsidRPr="00000000">
        <w:rPr>
          <w:rFonts w:ascii="Verdana" w:cs="Verdana" w:eastAsia="Verdana" w:hAnsi="Verdana"/>
          <w:highlight w:val="white"/>
          <w:rtl w:val="0"/>
        </w:rPr>
        <w:t xml:space="preserve">En mérito de lo expuesto</w:t>
      </w:r>
      <w:r w:rsidDel="00000000" w:rsidR="00000000" w:rsidRPr="00000000">
        <w:rPr>
          <w:rFonts w:ascii="Verdana" w:cs="Verdana" w:eastAsia="Verdana" w:hAnsi="Verdana"/>
          <w:rtl w:val="0"/>
        </w:rPr>
        <w:t xml:space="preserve">, </w:t>
      </w:r>
      <w:r w:rsidDel="00000000" w:rsidR="00000000" w:rsidRPr="00000000">
        <w:rPr>
          <w:rFonts w:ascii="Verdana" w:cs="Verdana" w:eastAsia="Verdana" w:hAnsi="Verdana"/>
          <w:sz w:val="24"/>
          <w:szCs w:val="24"/>
          <w:rtl w:val="0"/>
        </w:rPr>
        <w:t xml:space="preserve">el Secretario </w:t>
      </w:r>
      <w:r w:rsidDel="00000000" w:rsidR="00000000" w:rsidRPr="00000000">
        <w:rPr>
          <w:rFonts w:ascii="Verdana" w:cs="Verdana" w:eastAsia="Verdana" w:hAnsi="Verdana"/>
          <w:rtl w:val="0"/>
        </w:rPr>
        <w:t xml:space="preserve">General (E) de la Superintendencia de Vigilancia y Seguridad Privada,</w:t>
      </w:r>
      <w:r w:rsidDel="00000000" w:rsidR="00000000" w:rsidRPr="00000000">
        <w:rPr>
          <w:rtl w:val="0"/>
        </w:rPr>
      </w:r>
    </w:p>
    <w:p w:rsidR="00000000" w:rsidDel="00000000" w:rsidP="00000000" w:rsidRDefault="00000000" w:rsidRPr="00000000" w14:paraId="0000007A">
      <w:pPr>
        <w:spacing w:line="240" w:lineRule="auto"/>
        <w:ind w:left="720" w:firstLine="0"/>
        <w:jc w:val="center"/>
        <w:rPr>
          <w:rFonts w:ascii="Verdana" w:cs="Verdana" w:eastAsia="Verdana" w:hAnsi="Verdana"/>
          <w:b w:val="1"/>
        </w:rPr>
      </w:pPr>
      <w:r w:rsidDel="00000000" w:rsidR="00000000" w:rsidRPr="00000000">
        <w:rPr>
          <w:rtl w:val="0"/>
        </w:rPr>
      </w:r>
    </w:p>
    <w:p w:rsidR="00000000" w:rsidDel="00000000" w:rsidP="00000000" w:rsidRDefault="00000000" w:rsidRPr="00000000" w14:paraId="0000007B">
      <w:pPr>
        <w:spacing w:line="240" w:lineRule="auto"/>
        <w:ind w:left="720" w:firstLine="0"/>
        <w:jc w:val="center"/>
        <w:rPr>
          <w:rFonts w:ascii="Verdana" w:cs="Verdana" w:eastAsia="Verdana" w:hAnsi="Verdana"/>
          <w:b w:val="1"/>
        </w:rPr>
      </w:pPr>
      <w:r w:rsidDel="00000000" w:rsidR="00000000" w:rsidRPr="00000000">
        <w:rPr>
          <w:rFonts w:ascii="Verdana" w:cs="Verdana" w:eastAsia="Verdana" w:hAnsi="Verdana"/>
          <w:b w:val="1"/>
          <w:rtl w:val="0"/>
        </w:rPr>
        <w:t xml:space="preserve">RESUELVE</w:t>
      </w:r>
    </w:p>
    <w:p w:rsidR="00000000" w:rsidDel="00000000" w:rsidP="00000000" w:rsidRDefault="00000000" w:rsidRPr="00000000" w14:paraId="0000007C">
      <w:pPr>
        <w:spacing w:line="240" w:lineRule="auto"/>
        <w:ind w:left="720" w:firstLine="0"/>
        <w:jc w:val="center"/>
        <w:rPr>
          <w:rFonts w:ascii="Verdana" w:cs="Verdana" w:eastAsia="Verdana" w:hAnsi="Verdana"/>
          <w:b w:val="1"/>
        </w:rPr>
      </w:pPr>
      <w:r w:rsidDel="00000000" w:rsidR="00000000" w:rsidRPr="00000000">
        <w:rPr>
          <w:rtl w:val="0"/>
        </w:rPr>
      </w:r>
    </w:p>
    <w:p w:rsidR="00000000" w:rsidDel="00000000" w:rsidP="00000000" w:rsidRDefault="00000000" w:rsidRPr="00000000" w14:paraId="0000007D">
      <w:pPr>
        <w:spacing w:line="240" w:lineRule="auto"/>
        <w:jc w:val="both"/>
        <w:rPr>
          <w:rFonts w:ascii="Verdana" w:cs="Verdana" w:eastAsia="Verdana" w:hAnsi="Verdana"/>
        </w:rPr>
      </w:pPr>
      <w:bookmarkStart w:colFirst="0" w:colLast="0" w:name="_mj0aimjgkrlh" w:id="0"/>
      <w:bookmarkEnd w:id="0"/>
      <w:r w:rsidDel="00000000" w:rsidR="00000000" w:rsidRPr="00000000">
        <w:rPr>
          <w:rFonts w:ascii="Verdana" w:cs="Verdana" w:eastAsia="Verdana" w:hAnsi="Verdana"/>
          <w:b w:val="1"/>
          <w:rtl w:val="0"/>
        </w:rPr>
        <w:t xml:space="preserve">PRIMERO: DECLARAR</w:t>
      </w:r>
      <w:r w:rsidDel="00000000" w:rsidR="00000000" w:rsidRPr="00000000">
        <w:rPr>
          <w:rFonts w:ascii="Verdana" w:cs="Verdana" w:eastAsia="Verdana" w:hAnsi="Verdana"/>
          <w:rtl w:val="0"/>
        </w:rPr>
        <w:t xml:space="preserve"> la prescripción de la acción disciplinaria dentro del expediente No. 016-2020, y en </w:t>
      </w:r>
      <w:r w:rsidDel="00000000" w:rsidR="00000000" w:rsidRPr="00000000">
        <w:rPr>
          <w:rFonts w:ascii="Verdana" w:cs="Verdana" w:eastAsia="Verdana" w:hAnsi="Verdana"/>
          <w:sz w:val="24"/>
          <w:szCs w:val="24"/>
          <w:rtl w:val="0"/>
        </w:rPr>
        <w:t xml:space="preserve">consecuencia DISPONER</w:t>
      </w:r>
      <w:r w:rsidDel="00000000" w:rsidR="00000000" w:rsidRPr="00000000">
        <w:rPr>
          <w:rFonts w:ascii="Verdana" w:cs="Verdana" w:eastAsia="Verdana" w:hAnsi="Verdana"/>
          <w:b w:val="1"/>
          <w:rtl w:val="0"/>
        </w:rPr>
        <w:t xml:space="preserve"> </w:t>
      </w:r>
      <w:r w:rsidDel="00000000" w:rsidR="00000000" w:rsidRPr="00000000">
        <w:rPr>
          <w:rFonts w:ascii="Verdana" w:cs="Verdana" w:eastAsia="Verdana" w:hAnsi="Verdana"/>
          <w:rtl w:val="0"/>
        </w:rPr>
        <w:t xml:space="preserve">la terminación y archivo definitivo de la actuación disciplinaria adelantada, de conformidad con lo expuesto en la parte motiva del presente proveído. </w:t>
      </w:r>
    </w:p>
    <w:p w:rsidR="00000000" w:rsidDel="00000000" w:rsidP="00000000" w:rsidRDefault="00000000" w:rsidRPr="00000000" w14:paraId="0000007E">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7F">
      <w:pPr>
        <w:spacing w:line="240" w:lineRule="auto"/>
        <w:jc w:val="both"/>
        <w:rPr>
          <w:rFonts w:ascii="Verdana" w:cs="Verdana" w:eastAsia="Verdana" w:hAnsi="Verdana"/>
        </w:rPr>
      </w:pPr>
      <w:r w:rsidDel="00000000" w:rsidR="00000000" w:rsidRPr="00000000">
        <w:rPr>
          <w:rFonts w:ascii="Verdana" w:cs="Verdana" w:eastAsia="Verdana" w:hAnsi="Verdana"/>
          <w:b w:val="1"/>
          <w:rtl w:val="0"/>
        </w:rPr>
        <w:t xml:space="preserve">SEGUNDO: </w:t>
      </w:r>
      <w:r w:rsidDel="00000000" w:rsidR="00000000" w:rsidRPr="00000000">
        <w:rPr>
          <w:rFonts w:ascii="Verdana" w:cs="Verdana" w:eastAsia="Verdana" w:hAnsi="Verdana"/>
          <w:rtl w:val="0"/>
        </w:rPr>
        <w:t xml:space="preserve">Frente a la presente decisión no procede recurso.</w:t>
      </w:r>
    </w:p>
    <w:p w:rsidR="00000000" w:rsidDel="00000000" w:rsidP="00000000" w:rsidRDefault="00000000" w:rsidRPr="00000000" w14:paraId="00000080">
      <w:pPr>
        <w:spacing w:line="240" w:lineRule="auto"/>
        <w:rPr>
          <w:rFonts w:ascii="Verdana" w:cs="Verdana" w:eastAsia="Verdana" w:hAnsi="Verdana"/>
          <w:b w:val="1"/>
        </w:rPr>
      </w:pPr>
      <w:r w:rsidDel="00000000" w:rsidR="00000000" w:rsidRPr="00000000">
        <w:rPr>
          <w:rtl w:val="0"/>
        </w:rPr>
      </w:r>
    </w:p>
    <w:p w:rsidR="00000000" w:rsidDel="00000000" w:rsidP="00000000" w:rsidRDefault="00000000" w:rsidRPr="00000000" w14:paraId="00000081">
      <w:pPr>
        <w:spacing w:line="240" w:lineRule="auto"/>
        <w:ind w:left="720" w:firstLine="0"/>
        <w:jc w:val="center"/>
        <w:rPr>
          <w:rFonts w:ascii="Verdana" w:cs="Verdana" w:eastAsia="Verdana" w:hAnsi="Verdana"/>
          <w:b w:val="1"/>
        </w:rPr>
      </w:pPr>
      <w:r w:rsidDel="00000000" w:rsidR="00000000" w:rsidRPr="00000000">
        <w:rPr>
          <w:rtl w:val="0"/>
        </w:rPr>
      </w:r>
    </w:p>
    <w:p w:rsidR="00000000" w:rsidDel="00000000" w:rsidP="00000000" w:rsidRDefault="00000000" w:rsidRPr="00000000" w14:paraId="00000082">
      <w:pPr>
        <w:spacing w:line="240" w:lineRule="auto"/>
        <w:ind w:left="720" w:firstLine="0"/>
        <w:jc w:val="center"/>
        <w:rPr>
          <w:rFonts w:ascii="Verdana" w:cs="Verdana" w:eastAsia="Verdana" w:hAnsi="Verdana"/>
          <w:b w:val="1"/>
        </w:rPr>
      </w:pPr>
      <w:r w:rsidDel="00000000" w:rsidR="00000000" w:rsidRPr="00000000">
        <w:rPr>
          <w:rFonts w:ascii="Verdana" w:cs="Verdana" w:eastAsia="Verdana" w:hAnsi="Verdana"/>
          <w:b w:val="1"/>
          <w:rtl w:val="0"/>
        </w:rPr>
        <w:t xml:space="preserve">NOTIFIQUESE Y CUMPLASE</w:t>
      </w:r>
    </w:p>
    <w:p w:rsidR="00000000" w:rsidDel="00000000" w:rsidP="00000000" w:rsidRDefault="00000000" w:rsidRPr="00000000" w14:paraId="00000083">
      <w:pPr>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 w:name="Calibri"/>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85">
      <w:pPr>
        <w:spacing w:line="240" w:lineRule="auto"/>
        <w:jc w:val="both"/>
        <w:rPr>
          <w:rFonts w:ascii="Verdana" w:cs="Verdana" w:eastAsia="Verdana" w:hAnsi="Verdana"/>
          <w:sz w:val="14"/>
          <w:szCs w:val="14"/>
        </w:rPr>
      </w:pPr>
      <w:r w:rsidDel="00000000" w:rsidR="00000000" w:rsidRPr="00000000">
        <w:rPr>
          <w:rStyle w:val="FootnoteReference"/>
          <w:vertAlign w:val="superscript"/>
        </w:rPr>
        <w:footnoteRef/>
      </w:r>
      <w:r w:rsidDel="00000000" w:rsidR="00000000" w:rsidRPr="00000000">
        <w:rPr>
          <w:rFonts w:ascii="Calibri" w:cs="Calibri" w:eastAsia="Calibri" w:hAnsi="Calibri"/>
          <w:sz w:val="20"/>
          <w:szCs w:val="20"/>
          <w:rtl w:val="0"/>
        </w:rPr>
        <w:t xml:space="preserve"> </w:t>
      </w:r>
      <w:r w:rsidDel="00000000" w:rsidR="00000000" w:rsidRPr="00000000">
        <w:rPr>
          <w:rFonts w:ascii="Verdana" w:cs="Verdana" w:eastAsia="Verdana" w:hAnsi="Verdana"/>
          <w:sz w:val="14"/>
          <w:szCs w:val="14"/>
          <w:rtl w:val="0"/>
        </w:rPr>
        <w:t xml:space="preserve">La Superintendencia de Vigilancia y Seguridad Privada mediante las Resoluciones Nos. 20201300013787 de 2 de abril de 2020, 20201300014047 de 13 de abril de 2020, 20201300017187 de 27 de abril de 2020, 20201300020487 de 9 de mayo de 2020, 20201300021567 de 12 de mayo de 2020, y 20201300020487 de 25 de mayo de 2020, 20201300023727 de 1 de junio de 2020, 20201300032967 de 30 de junio de 2020, 20201300037007 de 15 de julio de 2020, y 20201300042817 de 31 de julio de 2020 suspendió los términos de las actuaciones administrativas, estableció algunas excepciones y adoptó otras medidas por motivos de salubridad pública y fuerza mayor con ocasión de la pandemia del Covid-19 como medidas transitorias. A su vez a través de la Resolución No. 20201300051417 del 31 de agosto de 2020, se ordenó reanudar los términos en todas las actuaciones y diligencias administrativas a cargo de la Superintendencia de Vigilancia y Seguridad Privada.</w:t>
      </w:r>
    </w:p>
  </w:footnote>
  <w:footnote w:id="1">
    <w:p w:rsidR="00000000" w:rsidDel="00000000" w:rsidP="00000000" w:rsidRDefault="00000000" w:rsidRPr="00000000" w14:paraId="00000086">
      <w:pPr>
        <w:spacing w:line="240" w:lineRule="auto"/>
        <w:jc w:val="both"/>
        <w:rPr>
          <w:rFonts w:ascii="Calibri" w:cs="Calibri" w:eastAsia="Calibri" w:hAnsi="Calibri"/>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sz w:val="20"/>
          <w:szCs w:val="20"/>
          <w:rtl w:val="0"/>
        </w:rPr>
        <w:t xml:space="preserve"> </w:t>
      </w:r>
      <w:r w:rsidDel="00000000" w:rsidR="00000000" w:rsidRPr="00000000">
        <w:rPr>
          <w:rFonts w:ascii="Verdana" w:cs="Verdana" w:eastAsia="Verdana" w:hAnsi="Verdana"/>
          <w:sz w:val="14"/>
          <w:szCs w:val="14"/>
          <w:rtl w:val="0"/>
        </w:rPr>
        <w:t xml:space="preserve">La Superintendencia de Vigilancia y Seguridad Privada mediante las Resoluciones Nos.20241300000001C del 22 de marzo de 2024 y 20241300037057CS del 20 de septiembre de 2024 suspendió los términos de las actuaciones administrativas con ocasión de fallas en el gestor documental.</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4">
    <w:pPr>
      <w:jc w:val="cente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1914525</wp:posOffset>
          </wp:positionH>
          <wp:positionV relativeFrom="paragraph">
            <wp:posOffset>-371474</wp:posOffset>
          </wp:positionV>
          <wp:extent cx="2110740" cy="830580"/>
          <wp:effectExtent b="0" l="0" r="0" t="0"/>
          <wp:wrapNone/>
          <wp:docPr id="1" name="image1.png"/>
          <a:graphic>
            <a:graphicData uri="http://schemas.openxmlformats.org/drawingml/2006/picture">
              <pic:pic>
                <pic:nvPicPr>
                  <pic:cNvPr id="0" name="image1.png"/>
                  <pic:cNvPicPr preferRelativeResize="0"/>
                </pic:nvPicPr>
                <pic:blipFill>
                  <a:blip r:embed="rId1"/>
                  <a:srcRect b="22905" l="0" r="0" t="23179"/>
                  <a:stretch>
                    <a:fillRect/>
                  </a:stretch>
                </pic:blipFill>
                <pic:spPr>
                  <a:xfrm>
                    <a:off x="0" y="0"/>
                    <a:ext cx="2110740" cy="83058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Roman"/>
      <w:lvlText w:val="%1."/>
      <w:lvlJc w:val="left"/>
      <w:pPr>
        <w:ind w:left="1080" w:hanging="72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